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633F7A" w:rsidRPr="00633F7A" w:rsidTr="00633F7A">
        <w:trPr>
          <w:tblCellSpacing w:w="0" w:type="dxa"/>
        </w:trPr>
        <w:tc>
          <w:tcPr>
            <w:tcW w:w="3348" w:type="dxa"/>
            <w:tcMar>
              <w:top w:w="0" w:type="dxa"/>
              <w:left w:w="108" w:type="dxa"/>
              <w:bottom w:w="0" w:type="dxa"/>
              <w:right w:w="108" w:type="dxa"/>
            </w:tcMar>
            <w:hideMark/>
          </w:tcPr>
          <w:p w:rsidR="00633F7A" w:rsidRPr="00633F7A" w:rsidRDefault="00633F7A" w:rsidP="00633F7A">
            <w:pPr>
              <w:spacing w:before="120" w:after="100" w:afterAutospacing="1"/>
              <w:ind w:firstLine="0"/>
              <w:jc w:val="center"/>
              <w:rPr>
                <w:rFonts w:eastAsia="Times New Roman"/>
                <w:sz w:val="24"/>
                <w:szCs w:val="24"/>
              </w:rPr>
            </w:pPr>
            <w:r w:rsidRPr="00633F7A">
              <w:rPr>
                <w:rFonts w:eastAsia="Times New Roman"/>
                <w:b/>
                <w:bCs/>
                <w:sz w:val="24"/>
                <w:szCs w:val="24"/>
              </w:rPr>
              <w:t>BỘ Y TẾ</w:t>
            </w:r>
            <w:r w:rsidRPr="00633F7A">
              <w:rPr>
                <w:rFonts w:eastAsia="Times New Roman"/>
                <w:b/>
                <w:bCs/>
                <w:sz w:val="24"/>
                <w:szCs w:val="24"/>
              </w:rPr>
              <w:br/>
              <w:t>-------</w:t>
            </w:r>
          </w:p>
        </w:tc>
        <w:tc>
          <w:tcPr>
            <w:tcW w:w="5508" w:type="dxa"/>
            <w:tcMar>
              <w:top w:w="0" w:type="dxa"/>
              <w:left w:w="108" w:type="dxa"/>
              <w:bottom w:w="0" w:type="dxa"/>
              <w:right w:w="108" w:type="dxa"/>
            </w:tcMar>
            <w:hideMark/>
          </w:tcPr>
          <w:p w:rsidR="00633F7A" w:rsidRPr="00633F7A" w:rsidRDefault="00633F7A" w:rsidP="00633F7A">
            <w:pPr>
              <w:spacing w:before="120" w:after="100" w:afterAutospacing="1"/>
              <w:ind w:firstLine="0"/>
              <w:jc w:val="center"/>
              <w:rPr>
                <w:rFonts w:eastAsia="Times New Roman"/>
                <w:sz w:val="24"/>
                <w:szCs w:val="24"/>
              </w:rPr>
            </w:pPr>
            <w:r w:rsidRPr="00633F7A">
              <w:rPr>
                <w:rFonts w:eastAsia="Times New Roman"/>
                <w:b/>
                <w:bCs/>
                <w:sz w:val="24"/>
                <w:szCs w:val="24"/>
              </w:rPr>
              <w:t>CỘNG HÒA XÃ HỘI CHỦ NGHĨA VIỆT NAM</w:t>
            </w:r>
            <w:r w:rsidRPr="00633F7A">
              <w:rPr>
                <w:rFonts w:eastAsia="Times New Roman"/>
                <w:b/>
                <w:bCs/>
                <w:sz w:val="24"/>
                <w:szCs w:val="24"/>
              </w:rPr>
              <w:br/>
              <w:t xml:space="preserve">Độc lập - Tự do - Hạnh phúc </w:t>
            </w:r>
            <w:r w:rsidRPr="00633F7A">
              <w:rPr>
                <w:rFonts w:eastAsia="Times New Roman"/>
                <w:b/>
                <w:bCs/>
                <w:sz w:val="24"/>
                <w:szCs w:val="24"/>
              </w:rPr>
              <w:br/>
              <w:t>---------------</w:t>
            </w:r>
          </w:p>
        </w:tc>
      </w:tr>
      <w:tr w:rsidR="00633F7A" w:rsidRPr="00633F7A" w:rsidTr="00633F7A">
        <w:trPr>
          <w:tblCellSpacing w:w="0" w:type="dxa"/>
        </w:trPr>
        <w:tc>
          <w:tcPr>
            <w:tcW w:w="3348" w:type="dxa"/>
            <w:tcMar>
              <w:top w:w="0" w:type="dxa"/>
              <w:left w:w="108" w:type="dxa"/>
              <w:bottom w:w="0" w:type="dxa"/>
              <w:right w:w="108" w:type="dxa"/>
            </w:tcMar>
            <w:hideMark/>
          </w:tcPr>
          <w:p w:rsidR="00633F7A" w:rsidRPr="00633F7A" w:rsidRDefault="00633F7A" w:rsidP="00633F7A">
            <w:pPr>
              <w:spacing w:before="120" w:after="100" w:afterAutospacing="1"/>
              <w:ind w:firstLine="0"/>
              <w:jc w:val="center"/>
              <w:rPr>
                <w:rFonts w:eastAsia="Times New Roman"/>
                <w:sz w:val="24"/>
                <w:szCs w:val="24"/>
              </w:rPr>
            </w:pPr>
            <w:r w:rsidRPr="00633F7A">
              <w:rPr>
                <w:rFonts w:eastAsia="Times New Roman"/>
                <w:sz w:val="24"/>
                <w:szCs w:val="24"/>
              </w:rPr>
              <w:t>Số: 13/2015/TT-BYT</w:t>
            </w:r>
          </w:p>
        </w:tc>
        <w:tc>
          <w:tcPr>
            <w:tcW w:w="5508" w:type="dxa"/>
            <w:tcMar>
              <w:top w:w="0" w:type="dxa"/>
              <w:left w:w="108" w:type="dxa"/>
              <w:bottom w:w="0" w:type="dxa"/>
              <w:right w:w="108" w:type="dxa"/>
            </w:tcMar>
            <w:hideMark/>
          </w:tcPr>
          <w:p w:rsidR="00633F7A" w:rsidRPr="00633F7A" w:rsidRDefault="00633F7A" w:rsidP="00633F7A">
            <w:pPr>
              <w:spacing w:before="120" w:after="100" w:afterAutospacing="1"/>
              <w:ind w:firstLine="0"/>
              <w:jc w:val="right"/>
              <w:rPr>
                <w:rFonts w:eastAsia="Times New Roman"/>
                <w:sz w:val="24"/>
                <w:szCs w:val="24"/>
              </w:rPr>
            </w:pPr>
            <w:r w:rsidRPr="00633F7A">
              <w:rPr>
                <w:rFonts w:eastAsia="Times New Roman"/>
                <w:i/>
                <w:iCs/>
                <w:sz w:val="24"/>
                <w:szCs w:val="24"/>
              </w:rPr>
              <w:t>Hà Nội, ngày 28 tháng 05 năm 2015</w:t>
            </w:r>
          </w:p>
        </w:tc>
      </w:tr>
    </w:tbl>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 </w:t>
      </w:r>
    </w:p>
    <w:p w:rsidR="00633F7A" w:rsidRPr="00633F7A" w:rsidRDefault="00633F7A" w:rsidP="00633F7A">
      <w:pPr>
        <w:spacing w:before="120" w:after="100" w:afterAutospacing="1"/>
        <w:ind w:firstLine="0"/>
        <w:jc w:val="center"/>
        <w:rPr>
          <w:rFonts w:eastAsia="Times New Roman"/>
          <w:sz w:val="24"/>
          <w:szCs w:val="24"/>
        </w:rPr>
      </w:pPr>
      <w:r w:rsidRPr="00633F7A">
        <w:rPr>
          <w:rFonts w:eastAsia="Times New Roman"/>
          <w:b/>
          <w:bCs/>
          <w:sz w:val="24"/>
          <w:szCs w:val="24"/>
        </w:rPr>
        <w:t>THÔNG TƯ</w:t>
      </w:r>
    </w:p>
    <w:p w:rsidR="00633F7A" w:rsidRPr="00633F7A" w:rsidRDefault="00633F7A" w:rsidP="00633F7A">
      <w:pPr>
        <w:spacing w:before="120" w:after="100" w:afterAutospacing="1"/>
        <w:ind w:firstLine="0"/>
        <w:jc w:val="center"/>
        <w:rPr>
          <w:rFonts w:eastAsia="Times New Roman"/>
          <w:sz w:val="24"/>
          <w:szCs w:val="24"/>
        </w:rPr>
      </w:pPr>
      <w:r w:rsidRPr="00633F7A">
        <w:rPr>
          <w:rFonts w:eastAsia="Times New Roman"/>
          <w:sz w:val="24"/>
          <w:szCs w:val="24"/>
        </w:rPr>
        <w:t xml:space="preserve">SỬA ĐỔI KHOẢN 2 ĐIỀU 21 THÔNG TƯ SỐ </w:t>
      </w:r>
      <w:hyperlink r:id="rId4" w:tgtFrame="_blank" w:history="1">
        <w:r w:rsidRPr="00633F7A">
          <w:rPr>
            <w:rFonts w:eastAsia="Times New Roman"/>
            <w:color w:val="0000FF"/>
            <w:sz w:val="24"/>
            <w:szCs w:val="24"/>
            <w:u w:val="single"/>
          </w:rPr>
          <w:t>47/2010/TT-BYT</w:t>
        </w:r>
      </w:hyperlink>
      <w:r w:rsidRPr="00633F7A">
        <w:rPr>
          <w:rFonts w:eastAsia="Times New Roman"/>
          <w:sz w:val="24"/>
          <w:szCs w:val="24"/>
        </w:rPr>
        <w:t xml:space="preserve"> NGÀY 29 THÁNG 12 NĂM 2010 CỦA BỘ Y TẾ HƯỚNG DẪN HOẠT ĐỘNG XUẤT KHẨU, NHẬP KHẨU THUỐC VÀ BAO BÌ TIẾP XÚC TRỰC TIẾP VỚI THUỐC</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i/>
          <w:iCs/>
          <w:sz w:val="24"/>
          <w:szCs w:val="24"/>
        </w:rPr>
        <w:t>Căn cứ Luật dược số 34/2005/QH11 ngày 14 tháng 06 năm 2005;</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i/>
          <w:iCs/>
          <w:sz w:val="24"/>
          <w:szCs w:val="24"/>
        </w:rPr>
        <w:t xml:space="preserve">Căn cứ Nghị định số </w:t>
      </w:r>
      <w:hyperlink r:id="rId5" w:tgtFrame="_blank" w:history="1">
        <w:r w:rsidRPr="00633F7A">
          <w:rPr>
            <w:rFonts w:eastAsia="Times New Roman"/>
            <w:i/>
            <w:iCs/>
            <w:color w:val="0000FF"/>
            <w:sz w:val="24"/>
            <w:szCs w:val="24"/>
            <w:u w:val="single"/>
          </w:rPr>
          <w:t>63/2012/NĐ-CP</w:t>
        </w:r>
      </w:hyperlink>
      <w:r w:rsidRPr="00633F7A">
        <w:rPr>
          <w:rFonts w:eastAsia="Times New Roman"/>
          <w:i/>
          <w:iCs/>
          <w:sz w:val="24"/>
          <w:szCs w:val="24"/>
        </w:rPr>
        <w:t xml:space="preserve"> ngày 31 </w:t>
      </w:r>
      <w:r w:rsidRPr="00633F7A">
        <w:rPr>
          <w:rFonts w:eastAsia="Times New Roman"/>
          <w:i/>
          <w:iCs/>
          <w:sz w:val="24"/>
          <w:szCs w:val="24"/>
          <w:shd w:val="clear" w:color="auto" w:fill="FFFFFF"/>
        </w:rPr>
        <w:t>tháng</w:t>
      </w:r>
      <w:r w:rsidRPr="00633F7A">
        <w:rPr>
          <w:rFonts w:eastAsia="Times New Roman"/>
          <w:i/>
          <w:iCs/>
          <w:sz w:val="24"/>
          <w:szCs w:val="24"/>
        </w:rPr>
        <w:t xml:space="preserve"> 8 năm 2012 của Chính phủ quy định chức năng, nhiệm vụ, quyền hạn và cơ cấu tổ chức của Bộ Y tế;</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i/>
          <w:iCs/>
          <w:sz w:val="24"/>
          <w:szCs w:val="24"/>
        </w:rPr>
        <w:t xml:space="preserve">Căn cứ </w:t>
      </w:r>
      <w:r w:rsidRPr="00633F7A">
        <w:rPr>
          <w:rFonts w:eastAsia="Times New Roman"/>
          <w:i/>
          <w:iCs/>
          <w:sz w:val="24"/>
          <w:szCs w:val="24"/>
          <w:shd w:val="clear" w:color="auto" w:fill="FFFFFF"/>
        </w:rPr>
        <w:t>Nghị định số</w:t>
      </w:r>
      <w:r w:rsidRPr="00633F7A">
        <w:rPr>
          <w:rFonts w:eastAsia="Times New Roman"/>
          <w:i/>
          <w:iCs/>
          <w:sz w:val="24"/>
          <w:szCs w:val="24"/>
        </w:rPr>
        <w:t xml:space="preserve"> </w:t>
      </w:r>
      <w:hyperlink r:id="rId6" w:tgtFrame="_blank" w:history="1">
        <w:r w:rsidRPr="00633F7A">
          <w:rPr>
            <w:rFonts w:eastAsia="Times New Roman"/>
            <w:i/>
            <w:iCs/>
            <w:color w:val="0000FF"/>
            <w:sz w:val="24"/>
            <w:szCs w:val="24"/>
            <w:u w:val="single"/>
          </w:rPr>
          <w:t>79/2006/NĐ-CP</w:t>
        </w:r>
      </w:hyperlink>
      <w:r w:rsidRPr="00633F7A">
        <w:rPr>
          <w:rFonts w:eastAsia="Times New Roman"/>
          <w:i/>
          <w:iCs/>
          <w:sz w:val="24"/>
          <w:szCs w:val="24"/>
        </w:rPr>
        <w:t xml:space="preserve"> ngày 09 </w:t>
      </w:r>
      <w:r w:rsidRPr="00633F7A">
        <w:rPr>
          <w:rFonts w:eastAsia="Times New Roman"/>
          <w:i/>
          <w:iCs/>
          <w:sz w:val="24"/>
          <w:szCs w:val="24"/>
          <w:shd w:val="clear" w:color="auto" w:fill="FFFFFF"/>
        </w:rPr>
        <w:t>tháng</w:t>
      </w:r>
      <w:r w:rsidRPr="00633F7A">
        <w:rPr>
          <w:rFonts w:eastAsia="Times New Roman"/>
          <w:i/>
          <w:iCs/>
          <w:sz w:val="24"/>
          <w:szCs w:val="24"/>
        </w:rPr>
        <w:t xml:space="preserve"> 08 năm 2006 của Chính phủ quy định chi tiết thi hành một số điều của Luật Dược;</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i/>
          <w:iCs/>
          <w:sz w:val="24"/>
          <w:szCs w:val="24"/>
        </w:rPr>
        <w:t xml:space="preserve">Căn cứ </w:t>
      </w:r>
      <w:r w:rsidRPr="00633F7A">
        <w:rPr>
          <w:rFonts w:eastAsia="Times New Roman"/>
          <w:i/>
          <w:iCs/>
          <w:sz w:val="24"/>
          <w:szCs w:val="24"/>
          <w:shd w:val="clear" w:color="auto" w:fill="FFFFFF"/>
        </w:rPr>
        <w:t>Nghị định số</w:t>
      </w:r>
      <w:r w:rsidRPr="00633F7A">
        <w:rPr>
          <w:rFonts w:eastAsia="Times New Roman"/>
          <w:i/>
          <w:iCs/>
          <w:sz w:val="24"/>
          <w:szCs w:val="24"/>
        </w:rPr>
        <w:t xml:space="preserve"> </w:t>
      </w:r>
      <w:hyperlink r:id="rId7" w:tgtFrame="_blank" w:history="1">
        <w:r w:rsidRPr="00633F7A">
          <w:rPr>
            <w:rFonts w:eastAsia="Times New Roman"/>
            <w:i/>
            <w:iCs/>
            <w:color w:val="0000FF"/>
            <w:sz w:val="24"/>
            <w:szCs w:val="24"/>
            <w:u w:val="single"/>
          </w:rPr>
          <w:t>187/2013/NĐ-CP</w:t>
        </w:r>
      </w:hyperlink>
      <w:r w:rsidRPr="00633F7A">
        <w:rPr>
          <w:rFonts w:eastAsia="Times New Roman"/>
          <w:i/>
          <w:iCs/>
          <w:sz w:val="24"/>
          <w:szCs w:val="24"/>
        </w:rPr>
        <w:t xml:space="preserve"> ngày 20 tháng 11 năm 2013 của Chính phủ quy định chi tiết thi hành Luật Thương mại về hoạt động mua bán hàng </w:t>
      </w:r>
      <w:r w:rsidRPr="00633F7A">
        <w:rPr>
          <w:rFonts w:eastAsia="Times New Roman"/>
          <w:i/>
          <w:iCs/>
          <w:sz w:val="24"/>
          <w:szCs w:val="24"/>
          <w:shd w:val="clear" w:color="auto" w:fill="FFFFFF"/>
        </w:rPr>
        <w:t>hóa</w:t>
      </w:r>
      <w:r w:rsidRPr="00633F7A">
        <w:rPr>
          <w:rFonts w:eastAsia="Times New Roman"/>
          <w:i/>
          <w:iCs/>
          <w:sz w:val="24"/>
          <w:szCs w:val="24"/>
        </w:rPr>
        <w:t xml:space="preserve"> quốc tế và các hoạt động đại lý mua, bán, gia công và quá cảnh hàng hóa với nước ngoài;</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i/>
          <w:iCs/>
          <w:sz w:val="24"/>
          <w:szCs w:val="24"/>
        </w:rPr>
        <w:t xml:space="preserve">Căn cứ Qưyết định số </w:t>
      </w:r>
      <w:hyperlink r:id="rId8" w:tgtFrame="_blank" w:history="1">
        <w:r w:rsidRPr="00633F7A">
          <w:rPr>
            <w:rFonts w:eastAsia="Times New Roman"/>
            <w:i/>
            <w:iCs/>
            <w:color w:val="0000FF"/>
            <w:sz w:val="24"/>
            <w:szCs w:val="24"/>
            <w:u w:val="single"/>
          </w:rPr>
          <w:t>151/2007/QĐ-TTg</w:t>
        </w:r>
      </w:hyperlink>
      <w:r w:rsidRPr="00633F7A">
        <w:rPr>
          <w:rFonts w:eastAsia="Times New Roman"/>
          <w:i/>
          <w:iCs/>
          <w:sz w:val="24"/>
          <w:szCs w:val="24"/>
        </w:rPr>
        <w:t xml:space="preserve"> ngày 12 tháng 9 năm 2007 của Thủ tướng </w:t>
      </w:r>
      <w:r w:rsidRPr="00633F7A">
        <w:rPr>
          <w:rFonts w:eastAsia="Times New Roman"/>
          <w:i/>
          <w:iCs/>
          <w:sz w:val="24"/>
          <w:szCs w:val="24"/>
          <w:shd w:val="clear" w:color="auto" w:fill="FFFFFF"/>
        </w:rPr>
        <w:t>Chính phủ</w:t>
      </w:r>
      <w:r w:rsidRPr="00633F7A">
        <w:rPr>
          <w:rFonts w:eastAsia="Times New Roman"/>
          <w:i/>
          <w:iCs/>
          <w:sz w:val="24"/>
          <w:szCs w:val="24"/>
        </w:rPr>
        <w:t xml:space="preserve"> ban hành quy định về việc nhập khẩu thuốc chưa có số đăng ký tại Việt Nam;</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i/>
          <w:iCs/>
          <w:sz w:val="24"/>
          <w:szCs w:val="24"/>
        </w:rPr>
        <w:t>Theo đề nghị của Cục trưởng Cục Quản lý dược,</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i/>
          <w:iCs/>
          <w:sz w:val="24"/>
          <w:szCs w:val="24"/>
        </w:rPr>
        <w:t xml:space="preserve">Bộ trưởng Bộ Y tế ban hành Thông tư sửa đổi Khoản 2 </w:t>
      </w:r>
      <w:r w:rsidRPr="00633F7A">
        <w:rPr>
          <w:rFonts w:eastAsia="Times New Roman"/>
          <w:i/>
          <w:iCs/>
          <w:sz w:val="24"/>
          <w:szCs w:val="24"/>
          <w:shd w:val="clear" w:color="auto" w:fill="FFFFFF"/>
        </w:rPr>
        <w:t>Điều</w:t>
      </w:r>
      <w:r w:rsidRPr="00633F7A">
        <w:rPr>
          <w:rFonts w:eastAsia="Times New Roman"/>
          <w:i/>
          <w:iCs/>
          <w:sz w:val="24"/>
          <w:szCs w:val="24"/>
        </w:rPr>
        <w:t xml:space="preserve"> 21 Thông tư số </w:t>
      </w:r>
      <w:hyperlink r:id="rId9" w:tgtFrame="_blank" w:history="1">
        <w:r w:rsidRPr="00633F7A">
          <w:rPr>
            <w:rFonts w:eastAsia="Times New Roman"/>
            <w:i/>
            <w:iCs/>
            <w:color w:val="0000FF"/>
            <w:sz w:val="24"/>
            <w:szCs w:val="24"/>
            <w:u w:val="single"/>
          </w:rPr>
          <w:t>47/2010/TT-BYT</w:t>
        </w:r>
      </w:hyperlink>
      <w:r w:rsidRPr="00633F7A">
        <w:rPr>
          <w:rFonts w:eastAsia="Times New Roman"/>
          <w:i/>
          <w:iCs/>
          <w:sz w:val="24"/>
          <w:szCs w:val="24"/>
        </w:rPr>
        <w:t xml:space="preserve"> ngày 29 tháng 12 năm 2010 </w:t>
      </w:r>
      <w:r w:rsidRPr="00633F7A">
        <w:rPr>
          <w:rFonts w:eastAsia="Times New Roman"/>
          <w:i/>
          <w:iCs/>
          <w:sz w:val="24"/>
          <w:szCs w:val="24"/>
          <w:shd w:val="clear" w:color="auto" w:fill="FFFFFF"/>
        </w:rPr>
        <w:t>của</w:t>
      </w:r>
      <w:r w:rsidRPr="00633F7A">
        <w:rPr>
          <w:rFonts w:eastAsia="Times New Roman"/>
          <w:i/>
          <w:iCs/>
          <w:sz w:val="24"/>
          <w:szCs w:val="24"/>
        </w:rPr>
        <w:t xml:space="preserve"> Bộ </w:t>
      </w:r>
      <w:r w:rsidRPr="00633F7A">
        <w:rPr>
          <w:rFonts w:eastAsia="Times New Roman"/>
          <w:i/>
          <w:iCs/>
          <w:sz w:val="24"/>
          <w:szCs w:val="24"/>
          <w:shd w:val="clear" w:color="auto" w:fill="FFFFFF"/>
        </w:rPr>
        <w:t>Y tế</w:t>
      </w:r>
      <w:r w:rsidRPr="00633F7A">
        <w:rPr>
          <w:rFonts w:eastAsia="Times New Roman"/>
          <w:i/>
          <w:iCs/>
          <w:sz w:val="24"/>
          <w:szCs w:val="24"/>
        </w:rPr>
        <w:t xml:space="preserve"> hướng dẫn hoạt động xuất khẩu, nhập khẩu thuốc và bao bì tiếp xúc trực tiếp với thuốc.</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b/>
          <w:bCs/>
          <w:sz w:val="24"/>
          <w:szCs w:val="24"/>
        </w:rPr>
        <w:t xml:space="preserve">Điều 1. Sửa đổi </w:t>
      </w:r>
      <w:bookmarkStart w:id="0" w:name="dc_14"/>
      <w:r w:rsidRPr="00633F7A">
        <w:rPr>
          <w:rFonts w:eastAsia="Times New Roman"/>
          <w:b/>
          <w:bCs/>
          <w:sz w:val="24"/>
          <w:szCs w:val="24"/>
        </w:rPr>
        <w:t>Khoản 2 Điều 21 Thông tư số 47/2010/TT-BYT</w:t>
      </w:r>
      <w:bookmarkEnd w:id="0"/>
      <w:r w:rsidRPr="00633F7A">
        <w:rPr>
          <w:rFonts w:eastAsia="Times New Roman"/>
          <w:b/>
          <w:bCs/>
          <w:sz w:val="24"/>
          <w:szCs w:val="24"/>
        </w:rPr>
        <w:t xml:space="preserve"> ngày 29 tháng 12 năm 2010 của Bộ Y tế hướng dẫn hoạt động xuất khẩu, nhập khẩu thuốc và bao bì tiếp xúc trực tiếp với thuốc như sau</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"2. Thủ tục:</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 xml:space="preserve">Doanh nghiệp nhập khẩu gửi hồ sơ đến Viện Kiểm định quốc gia vắc xin và sinh phẩm y tế. Trong thời hạn 14 ngày làm việc kể từ khi nhận đủ mẫu và hồ sơ theo </w:t>
      </w:r>
      <w:r w:rsidRPr="00633F7A">
        <w:rPr>
          <w:rFonts w:eastAsia="Times New Roman"/>
          <w:sz w:val="24"/>
          <w:szCs w:val="24"/>
          <w:shd w:val="clear" w:color="auto" w:fill="FFFFFF"/>
        </w:rPr>
        <w:t>quy định</w:t>
      </w:r>
      <w:r w:rsidRPr="00633F7A">
        <w:rPr>
          <w:rFonts w:eastAsia="Times New Roman"/>
          <w:sz w:val="24"/>
          <w:szCs w:val="24"/>
        </w:rPr>
        <w:t xml:space="preserve">, Viện Kiểm định quốc gia vắc xin và sinh phẩm y tế trả lời bằng văn bản về chất lượng vắc xin, sinh phẩm </w:t>
      </w:r>
      <w:r w:rsidRPr="00633F7A">
        <w:rPr>
          <w:rFonts w:eastAsia="Times New Roman"/>
          <w:sz w:val="24"/>
          <w:szCs w:val="24"/>
          <w:shd w:val="clear" w:color="auto" w:fill="FFFFFF"/>
        </w:rPr>
        <w:t>y tế</w:t>
      </w:r>
      <w:r w:rsidRPr="00633F7A">
        <w:rPr>
          <w:rFonts w:eastAsia="Times New Roman"/>
          <w:sz w:val="24"/>
          <w:szCs w:val="24"/>
        </w:rPr>
        <w:t xml:space="preserve"> và về an toàn trên động vật thí nghiệm của vắc xin, sinh phẩm y tế gửi doanh nghiệp."</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b/>
          <w:bCs/>
          <w:sz w:val="24"/>
          <w:szCs w:val="24"/>
        </w:rPr>
        <w:t>Điều 2. Hiệu lực thi hành</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1. Thông tư này có hiệu lực thi hành kể từ ngày 15 tháng 7 năm 2015.</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 xml:space="preserve">2. </w:t>
      </w:r>
      <w:bookmarkStart w:id="1" w:name="dc_15"/>
      <w:r w:rsidRPr="00633F7A">
        <w:rPr>
          <w:rFonts w:eastAsia="Times New Roman"/>
          <w:sz w:val="24"/>
          <w:szCs w:val="24"/>
        </w:rPr>
        <w:t>Khoản 2 Điều 21 Thông tư số 47/2010/TT-BYT</w:t>
      </w:r>
      <w:bookmarkEnd w:id="1"/>
      <w:r w:rsidRPr="00633F7A">
        <w:rPr>
          <w:rFonts w:eastAsia="Times New Roman"/>
          <w:sz w:val="24"/>
          <w:szCs w:val="24"/>
        </w:rPr>
        <w:t xml:space="preserve"> ngày 29 tháng 12 năm 2010 của Bộ Y tế hướng dẫn hoạt động xuất khẩu, nhập khẩu thuốc và bao bì tiếp xúc trực tiếp với thuốc hết hiệu lực thi hành kể từ ngày Thông tư này có hiệu lực.</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b/>
          <w:bCs/>
          <w:sz w:val="24"/>
          <w:szCs w:val="24"/>
        </w:rPr>
        <w:lastRenderedPageBreak/>
        <w:t>Điều 3. Trách nhiệm thi hành</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Chánh Văn phòng Bộ, Cục tr</w:t>
      </w:r>
      <w:r w:rsidRPr="00633F7A">
        <w:rPr>
          <w:rFonts w:eastAsia="Times New Roman"/>
          <w:sz w:val="24"/>
          <w:szCs w:val="24"/>
          <w:shd w:val="clear" w:color="auto" w:fill="FFFFFF"/>
        </w:rPr>
        <w:t>ưở</w:t>
      </w:r>
      <w:r w:rsidRPr="00633F7A">
        <w:rPr>
          <w:rFonts w:eastAsia="Times New Roman"/>
          <w:sz w:val="24"/>
          <w:szCs w:val="24"/>
        </w:rPr>
        <w:t xml:space="preserve">ng Cục Quản lý Dược, Vụ trưởng, Cục trưởng, Tổng cục trưởng thuộc Bộ Y tế, Thủ trưởng các cơ quan, </w:t>
      </w:r>
      <w:r w:rsidRPr="00633F7A">
        <w:rPr>
          <w:rFonts w:eastAsia="Times New Roman"/>
          <w:sz w:val="24"/>
          <w:szCs w:val="24"/>
          <w:shd w:val="clear" w:color="auto" w:fill="FFFFFF"/>
        </w:rPr>
        <w:t>đơn vị</w:t>
      </w:r>
      <w:r w:rsidRPr="00633F7A">
        <w:rPr>
          <w:rFonts w:eastAsia="Times New Roman"/>
          <w:sz w:val="24"/>
          <w:szCs w:val="24"/>
        </w:rPr>
        <w:t xml:space="preserve"> trực thuộc Bộ, Giám đốc </w:t>
      </w:r>
      <w:r w:rsidRPr="00633F7A">
        <w:rPr>
          <w:rFonts w:eastAsia="Times New Roman"/>
          <w:sz w:val="24"/>
          <w:szCs w:val="24"/>
          <w:shd w:val="clear" w:color="auto" w:fill="FFFFFF"/>
        </w:rPr>
        <w:t>Sở</w:t>
      </w:r>
      <w:r w:rsidRPr="00633F7A">
        <w:rPr>
          <w:rFonts w:eastAsia="Times New Roman"/>
          <w:sz w:val="24"/>
          <w:szCs w:val="24"/>
        </w:rPr>
        <w:t xml:space="preserve"> Y tế các tỉnh, thành phố trực thuộc Trung ương và Thủ trưởng cơ quan y tế các Bộ, ngành chịu trách nhiệm thi hành Thông tư này.</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Trong quá trình thực hiện, nếu có vướng mắc, đề nghị phản ánh kịp thời về Bộ Y tế (Cục Quản lý Dược) để nghiên cứu, giải quyết./.</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24"/>
          <w:szCs w:val="24"/>
        </w:rPr>
        <w:t> </w:t>
      </w:r>
    </w:p>
    <w:tbl>
      <w:tblPr>
        <w:tblW w:w="0" w:type="auto"/>
        <w:tblCellSpacing w:w="0" w:type="dxa"/>
        <w:tblCellMar>
          <w:left w:w="0" w:type="dxa"/>
          <w:right w:w="0" w:type="dxa"/>
        </w:tblCellMar>
        <w:tblLook w:val="04A0"/>
      </w:tblPr>
      <w:tblGrid>
        <w:gridCol w:w="4428"/>
      </w:tblGrid>
      <w:tr w:rsidR="00633F7A" w:rsidRPr="00633F7A" w:rsidTr="00633F7A">
        <w:trPr>
          <w:tblCellSpacing w:w="0" w:type="dxa"/>
        </w:trPr>
        <w:tc>
          <w:tcPr>
            <w:tcW w:w="4428" w:type="dxa"/>
            <w:tcMar>
              <w:top w:w="0" w:type="dxa"/>
              <w:left w:w="108" w:type="dxa"/>
              <w:bottom w:w="0" w:type="dxa"/>
              <w:right w:w="108" w:type="dxa"/>
            </w:tcMar>
            <w:hideMark/>
          </w:tcPr>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sz w:val="16"/>
                <w:szCs w:val="16"/>
              </w:rPr>
              <w:t> </w:t>
            </w:r>
          </w:p>
          <w:p w:rsidR="00633F7A" w:rsidRPr="00633F7A" w:rsidRDefault="00633F7A" w:rsidP="00633F7A">
            <w:pPr>
              <w:spacing w:before="120" w:after="100" w:afterAutospacing="1"/>
              <w:ind w:firstLine="0"/>
              <w:jc w:val="left"/>
              <w:rPr>
                <w:rFonts w:eastAsia="Times New Roman"/>
                <w:sz w:val="24"/>
                <w:szCs w:val="24"/>
              </w:rPr>
            </w:pPr>
            <w:r w:rsidRPr="00633F7A">
              <w:rPr>
                <w:rFonts w:eastAsia="Times New Roman"/>
                <w:b/>
                <w:bCs/>
                <w:i/>
                <w:iCs/>
                <w:sz w:val="24"/>
                <w:szCs w:val="24"/>
              </w:rPr>
              <w:t>Nơi nhận:</w:t>
            </w:r>
            <w:r w:rsidRPr="00633F7A">
              <w:rPr>
                <w:rFonts w:eastAsia="Times New Roman"/>
                <w:b/>
                <w:bCs/>
                <w:i/>
                <w:iCs/>
                <w:sz w:val="16"/>
                <w:szCs w:val="16"/>
              </w:rPr>
              <w:br/>
            </w:r>
            <w:r w:rsidRPr="00633F7A">
              <w:rPr>
                <w:rFonts w:eastAsia="Times New Roman"/>
                <w:sz w:val="16"/>
                <w:szCs w:val="16"/>
              </w:rPr>
              <w:t>- Văn phòng Chính phủ (Vụ KGVX, Công báo, Cổng TTĐTCP);</w:t>
            </w:r>
            <w:r w:rsidRPr="00633F7A">
              <w:rPr>
                <w:rFonts w:eastAsia="Times New Roman"/>
                <w:sz w:val="16"/>
                <w:szCs w:val="16"/>
              </w:rPr>
              <w:br/>
              <w:t>- Bộ Công Thương;</w:t>
            </w:r>
            <w:r w:rsidRPr="00633F7A">
              <w:rPr>
                <w:rFonts w:eastAsia="Times New Roman"/>
                <w:sz w:val="16"/>
                <w:szCs w:val="16"/>
              </w:rPr>
              <w:br/>
              <w:t>- Bộ Tài chính (Tổng Cục Hải Quan);</w:t>
            </w:r>
            <w:r w:rsidRPr="00633F7A">
              <w:rPr>
                <w:rFonts w:eastAsia="Times New Roman"/>
                <w:sz w:val="16"/>
                <w:szCs w:val="16"/>
              </w:rPr>
              <w:br/>
              <w:t>- Bộ Tư pháp (Cục Kiểm tra văn bản QPPL);</w:t>
            </w:r>
            <w:r w:rsidRPr="00633F7A">
              <w:rPr>
                <w:rFonts w:eastAsia="Times New Roman"/>
                <w:sz w:val="16"/>
                <w:szCs w:val="16"/>
              </w:rPr>
              <w:br/>
              <w:t>- Bộ trưởng Nguyễn Thị Kim Tiến;</w:t>
            </w:r>
            <w:r w:rsidRPr="00633F7A">
              <w:rPr>
                <w:rFonts w:eastAsia="Times New Roman"/>
                <w:sz w:val="16"/>
                <w:szCs w:val="16"/>
              </w:rPr>
              <w:br/>
              <w:t>- Các Thứ trưởng Bộ Y tế;</w:t>
            </w:r>
            <w:r w:rsidRPr="00633F7A">
              <w:rPr>
                <w:rFonts w:eastAsia="Times New Roman"/>
                <w:sz w:val="16"/>
                <w:szCs w:val="16"/>
              </w:rPr>
              <w:br/>
              <w:t>- Các đơn vị trực thuộc Bộ Y tế;</w:t>
            </w:r>
            <w:r w:rsidRPr="00633F7A">
              <w:rPr>
                <w:rFonts w:eastAsia="Times New Roman"/>
                <w:sz w:val="16"/>
                <w:szCs w:val="16"/>
              </w:rPr>
              <w:br/>
              <w:t>- Sở Y tế các tỉnh TP trực thuộc TW;</w:t>
            </w:r>
            <w:r w:rsidRPr="00633F7A">
              <w:rPr>
                <w:rFonts w:eastAsia="Times New Roman"/>
                <w:sz w:val="16"/>
                <w:szCs w:val="16"/>
              </w:rPr>
              <w:br/>
              <w:t>- Tổng Công ty dược VN, các Doanh nghiệp xuất nhập khẩu trực tiếp thuốc, Viện kiểm nghiệm thuốc TW, Viện KN thuốc TP.HCM, Viện K.Đ Quốc gia vắc xin &amp; SPYT;</w:t>
            </w:r>
            <w:r w:rsidRPr="00633F7A">
              <w:rPr>
                <w:rFonts w:eastAsia="Times New Roman"/>
                <w:sz w:val="16"/>
                <w:szCs w:val="16"/>
              </w:rPr>
              <w:br/>
              <w:t>- Hiệp hội SXKDDVN;</w:t>
            </w:r>
            <w:r w:rsidRPr="00633F7A">
              <w:rPr>
                <w:rFonts w:eastAsia="Times New Roman"/>
                <w:sz w:val="16"/>
                <w:szCs w:val="16"/>
              </w:rPr>
              <w:br/>
              <w:t>- Y tế các ngành;</w:t>
            </w:r>
            <w:r w:rsidRPr="00633F7A">
              <w:rPr>
                <w:rFonts w:eastAsia="Times New Roman"/>
                <w:sz w:val="16"/>
                <w:szCs w:val="16"/>
              </w:rPr>
              <w:br/>
              <w:t>- Cổng thông tin điện tử Bộ Y tế;</w:t>
            </w:r>
            <w:r w:rsidRPr="00633F7A">
              <w:rPr>
                <w:rFonts w:eastAsia="Times New Roman"/>
                <w:sz w:val="16"/>
                <w:szCs w:val="16"/>
              </w:rPr>
              <w:br/>
              <w:t>- Lưu: VT, PC, QLD</w:t>
            </w:r>
            <w:r w:rsidRPr="00633F7A">
              <w:rPr>
                <w:rFonts w:eastAsia="Times New Roman"/>
                <w:sz w:val="16"/>
                <w:szCs w:val="16"/>
                <w:vertAlign w:val="subscript"/>
              </w:rPr>
              <w:t>(02b)</w:t>
            </w:r>
            <w:r w:rsidRPr="00633F7A">
              <w:rPr>
                <w:rFonts w:eastAsia="Times New Roman"/>
                <w:sz w:val="16"/>
                <w:szCs w:val="16"/>
              </w:rPr>
              <w:t>.</w:t>
            </w:r>
          </w:p>
        </w:tc>
      </w:tr>
    </w:tbl>
    <w:p w:rsidR="0080367D" w:rsidRDefault="0080367D"/>
    <w:sectPr w:rsidR="0080367D" w:rsidSect="00A642CD">
      <w:pgSz w:w="11907" w:h="16840" w:code="9"/>
      <w:pgMar w:top="1008" w:right="1138" w:bottom="100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20"/>
  <w:displayHorizontalDrawingGridEvery w:val="2"/>
  <w:displayVerticalDrawingGridEvery w:val="2"/>
  <w:characterSpacingControl w:val="doNotCompress"/>
  <w:compat/>
  <w:rsids>
    <w:rsidRoot w:val="00633F7A"/>
    <w:rsid w:val="000F3596"/>
    <w:rsid w:val="001269A4"/>
    <w:rsid w:val="00202F30"/>
    <w:rsid w:val="003F7BF1"/>
    <w:rsid w:val="005A18C0"/>
    <w:rsid w:val="00633F7A"/>
    <w:rsid w:val="0080367D"/>
    <w:rsid w:val="008B55AA"/>
    <w:rsid w:val="00A642CD"/>
    <w:rsid w:val="00BF27E6"/>
    <w:rsid w:val="00BF4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F7A"/>
    <w:pPr>
      <w:spacing w:before="100" w:beforeAutospacing="1" w:after="100" w:afterAutospacing="1"/>
      <w:ind w:firstLine="0"/>
      <w:jc w:val="left"/>
    </w:pPr>
    <w:rPr>
      <w:rFonts w:eastAsia="Times New Roman"/>
      <w:sz w:val="24"/>
      <w:szCs w:val="24"/>
    </w:rPr>
  </w:style>
  <w:style w:type="character" w:styleId="Hyperlink">
    <w:name w:val="Hyperlink"/>
    <w:basedOn w:val="DefaultParagraphFont"/>
    <w:uiPriority w:val="99"/>
    <w:semiHidden/>
    <w:unhideWhenUsed/>
    <w:rsid w:val="00633F7A"/>
    <w:rPr>
      <w:color w:val="0000FF"/>
      <w:u w:val="single"/>
    </w:rPr>
  </w:style>
</w:styles>
</file>

<file path=word/webSettings.xml><?xml version="1.0" encoding="utf-8"?>
<w:webSettings xmlns:r="http://schemas.openxmlformats.org/officeDocument/2006/relationships" xmlns:w="http://schemas.openxmlformats.org/wordprocessingml/2006/main">
  <w:divs>
    <w:div w:id="1370105747">
      <w:bodyDiv w:val="1"/>
      <w:marLeft w:val="0"/>
      <w:marRight w:val="0"/>
      <w:marTop w:val="0"/>
      <w:marBottom w:val="0"/>
      <w:divBdr>
        <w:top w:val="none" w:sz="0" w:space="0" w:color="auto"/>
        <w:left w:val="none" w:sz="0" w:space="0" w:color="auto"/>
        <w:bottom w:val="none" w:sz="0" w:space="0" w:color="auto"/>
        <w:right w:val="none" w:sz="0" w:space="0" w:color="auto"/>
      </w:divBdr>
      <w:divsChild>
        <w:div w:id="113212767">
          <w:marLeft w:val="0"/>
          <w:marRight w:val="0"/>
          <w:marTop w:val="0"/>
          <w:marBottom w:val="0"/>
          <w:divBdr>
            <w:top w:val="none" w:sz="0" w:space="0" w:color="auto"/>
            <w:left w:val="none" w:sz="0" w:space="0" w:color="auto"/>
            <w:bottom w:val="none" w:sz="0" w:space="0" w:color="auto"/>
            <w:right w:val="none" w:sz="0" w:space="0" w:color="auto"/>
          </w:divBdr>
          <w:divsChild>
            <w:div w:id="1232424051">
              <w:marLeft w:val="0"/>
              <w:marRight w:val="0"/>
              <w:marTop w:val="0"/>
              <w:marBottom w:val="0"/>
              <w:divBdr>
                <w:top w:val="none" w:sz="0" w:space="0" w:color="auto"/>
                <w:left w:val="none" w:sz="0" w:space="0" w:color="auto"/>
                <w:bottom w:val="none" w:sz="0" w:space="0" w:color="auto"/>
                <w:right w:val="none" w:sz="0" w:space="0" w:color="auto"/>
              </w:divBdr>
              <w:divsChild>
                <w:div w:id="2080210704">
                  <w:marLeft w:val="0"/>
                  <w:marRight w:val="173"/>
                  <w:marTop w:val="0"/>
                  <w:marBottom w:val="0"/>
                  <w:divBdr>
                    <w:top w:val="none" w:sz="0" w:space="0" w:color="auto"/>
                    <w:left w:val="none" w:sz="0" w:space="0" w:color="auto"/>
                    <w:bottom w:val="none" w:sz="0" w:space="0" w:color="auto"/>
                    <w:right w:val="none" w:sz="0" w:space="0" w:color="auto"/>
                  </w:divBdr>
                  <w:divsChild>
                    <w:div w:id="342050914">
                      <w:marLeft w:val="0"/>
                      <w:marRight w:val="0"/>
                      <w:marTop w:val="0"/>
                      <w:marBottom w:val="0"/>
                      <w:divBdr>
                        <w:top w:val="none" w:sz="0" w:space="0" w:color="auto"/>
                        <w:left w:val="none" w:sz="0" w:space="0" w:color="auto"/>
                        <w:bottom w:val="none" w:sz="0" w:space="0" w:color="auto"/>
                        <w:right w:val="none" w:sz="0" w:space="0" w:color="auto"/>
                      </w:divBdr>
                      <w:divsChild>
                        <w:div w:id="255212849">
                          <w:marLeft w:val="0"/>
                          <w:marRight w:val="0"/>
                          <w:marTop w:val="0"/>
                          <w:marBottom w:val="0"/>
                          <w:divBdr>
                            <w:top w:val="none" w:sz="0" w:space="0" w:color="auto"/>
                            <w:left w:val="none" w:sz="0" w:space="0" w:color="auto"/>
                            <w:bottom w:val="none" w:sz="0" w:space="0" w:color="auto"/>
                            <w:right w:val="none" w:sz="0" w:space="0" w:color="auto"/>
                          </w:divBdr>
                          <w:divsChild>
                            <w:div w:id="302080888">
                              <w:marLeft w:val="0"/>
                              <w:marRight w:val="0"/>
                              <w:marTop w:val="0"/>
                              <w:marBottom w:val="0"/>
                              <w:divBdr>
                                <w:top w:val="none" w:sz="0" w:space="0" w:color="auto"/>
                                <w:left w:val="none" w:sz="0" w:space="0" w:color="auto"/>
                                <w:bottom w:val="none" w:sz="0" w:space="0" w:color="auto"/>
                                <w:right w:val="none" w:sz="0" w:space="0" w:color="auto"/>
                              </w:divBdr>
                              <w:divsChild>
                                <w:div w:id="663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51/2007/Q%C4%90-TTg&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87/2013/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9/2006/N%C4%90-CP&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63/2012/N%C4%90-CP&amp;area=2&amp;type=0&amp;match=False&amp;vc=True&amp;lan=1" TargetMode="External"/><Relationship Id="rId10" Type="http://schemas.openxmlformats.org/officeDocument/2006/relationships/fontTable" Target="fontTable.xml"/><Relationship Id="rId4" Type="http://schemas.openxmlformats.org/officeDocument/2006/relationships/hyperlink" Target="http://thuvienphapluat.vn/phap-luat/tim-van-ban.aspx?keyword=47/2010/TT-BYT&amp;area=2&amp;type=0&amp;match=False&amp;vc=True&amp;lan=1" TargetMode="External"/><Relationship Id="rId9" Type="http://schemas.openxmlformats.org/officeDocument/2006/relationships/hyperlink" Target="http://thuvienphapluat.vn/phap-luat/tim-van-ban.aspx?keyword=47/2010/TT-B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2016-04-21T08:54:00Z</dcterms:created>
  <dcterms:modified xsi:type="dcterms:W3CDTF">2016-04-21T08:55:00Z</dcterms:modified>
</cp:coreProperties>
</file>