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5C1CDF" w:rsidTr="00E07699">
        <w:tc>
          <w:tcPr>
            <w:tcW w:w="3348" w:type="dxa"/>
            <w:tcMar>
              <w:top w:w="0" w:type="dxa"/>
              <w:left w:w="108" w:type="dxa"/>
              <w:bottom w:w="0" w:type="dxa"/>
              <w:right w:w="108" w:type="dxa"/>
            </w:tcMar>
            <w:hideMark/>
          </w:tcPr>
          <w:p w:rsidR="005C1CDF" w:rsidRDefault="005C1CDF" w:rsidP="00E07699">
            <w:pPr>
              <w:pStyle w:val="NormalWeb"/>
              <w:spacing w:before="120" w:beforeAutospacing="0"/>
              <w:jc w:val="center"/>
            </w:pPr>
            <w:bookmarkStart w:id="0" w:name="_GoBack"/>
            <w:bookmarkEnd w:id="0"/>
            <w:r>
              <w:rPr>
                <w:b/>
                <w:bCs/>
              </w:rPr>
              <w:t>BỘ XÂY DỰNG</w:t>
            </w:r>
            <w:r>
              <w:rPr>
                <w:b/>
                <w:bCs/>
              </w:rPr>
              <w:br/>
              <w:t>-------</w:t>
            </w:r>
          </w:p>
        </w:tc>
        <w:tc>
          <w:tcPr>
            <w:tcW w:w="5508" w:type="dxa"/>
            <w:tcMar>
              <w:top w:w="0" w:type="dxa"/>
              <w:left w:w="108" w:type="dxa"/>
              <w:bottom w:w="0" w:type="dxa"/>
              <w:right w:w="108" w:type="dxa"/>
            </w:tcMar>
            <w:hideMark/>
          </w:tcPr>
          <w:p w:rsidR="005C1CDF" w:rsidRDefault="005C1CDF" w:rsidP="00E07699">
            <w:pPr>
              <w:pStyle w:val="NormalWeb"/>
              <w:spacing w:before="120" w:beforeAutospacing="0"/>
              <w:jc w:val="center"/>
            </w:pPr>
            <w:r>
              <w:rPr>
                <w:b/>
                <w:bCs/>
              </w:rPr>
              <w:t>CỘNG HÒA XÃ HỘI CHỦ NGHĨA VIỆT NAM</w:t>
            </w:r>
            <w:r>
              <w:rPr>
                <w:b/>
                <w:bCs/>
              </w:rPr>
              <w:br/>
              <w:t xml:space="preserve">Độc lập - Tự do - Hạnh phúc </w:t>
            </w:r>
            <w:r>
              <w:rPr>
                <w:b/>
                <w:bCs/>
              </w:rPr>
              <w:br/>
              <w:t>---------------</w:t>
            </w:r>
          </w:p>
        </w:tc>
      </w:tr>
      <w:tr w:rsidR="005C1CDF" w:rsidTr="00E07699">
        <w:tc>
          <w:tcPr>
            <w:tcW w:w="3348" w:type="dxa"/>
            <w:tcMar>
              <w:top w:w="0" w:type="dxa"/>
              <w:left w:w="108" w:type="dxa"/>
              <w:bottom w:w="0" w:type="dxa"/>
              <w:right w:w="108" w:type="dxa"/>
            </w:tcMar>
            <w:hideMark/>
          </w:tcPr>
          <w:p w:rsidR="005C1CDF" w:rsidRDefault="005C1CDF" w:rsidP="00E07699">
            <w:pPr>
              <w:pStyle w:val="NormalWeb"/>
              <w:spacing w:before="120" w:beforeAutospacing="0"/>
              <w:jc w:val="center"/>
            </w:pPr>
            <w:r>
              <w:t>Số: 09/2017/TT-BXD</w:t>
            </w:r>
          </w:p>
        </w:tc>
        <w:tc>
          <w:tcPr>
            <w:tcW w:w="5508" w:type="dxa"/>
            <w:tcMar>
              <w:top w:w="0" w:type="dxa"/>
              <w:left w:w="108" w:type="dxa"/>
              <w:bottom w:w="0" w:type="dxa"/>
              <w:right w:w="108" w:type="dxa"/>
            </w:tcMar>
            <w:hideMark/>
          </w:tcPr>
          <w:p w:rsidR="005C1CDF" w:rsidRDefault="005C1CDF" w:rsidP="00E07699">
            <w:pPr>
              <w:pStyle w:val="NormalWeb"/>
              <w:spacing w:before="120" w:beforeAutospacing="0"/>
              <w:jc w:val="right"/>
            </w:pPr>
            <w:r>
              <w:rPr>
                <w:i/>
                <w:iCs/>
              </w:rPr>
              <w:t>Hà Nội, ngày 05 tháng 06 năm 2017</w:t>
            </w:r>
          </w:p>
        </w:tc>
      </w:tr>
    </w:tbl>
    <w:p w:rsidR="005C1CDF" w:rsidRDefault="005C1CDF" w:rsidP="005C1CDF">
      <w:pPr>
        <w:pStyle w:val="NormalWeb"/>
        <w:spacing w:before="120" w:beforeAutospacing="0"/>
      </w:pPr>
      <w:r>
        <w:t> </w:t>
      </w:r>
    </w:p>
    <w:p w:rsidR="005C1CDF" w:rsidRDefault="005C1CDF" w:rsidP="005C1CDF">
      <w:pPr>
        <w:pStyle w:val="NormalWeb"/>
        <w:spacing w:before="120" w:beforeAutospacing="0"/>
        <w:jc w:val="center"/>
      </w:pPr>
      <w:r>
        <w:rPr>
          <w:b/>
          <w:bCs/>
        </w:rPr>
        <w:t>THÔNG TƯ</w:t>
      </w:r>
    </w:p>
    <w:p w:rsidR="005C1CDF" w:rsidRDefault="005C1CDF" w:rsidP="005C1CDF">
      <w:pPr>
        <w:pStyle w:val="NormalWeb"/>
        <w:spacing w:before="120" w:beforeAutospacing="0"/>
        <w:jc w:val="center"/>
      </w:pPr>
      <w:r>
        <w:t>HƯỚNG DẪN XUẤT KHẨU VÔI, ĐÔLÔMIT NUNG</w:t>
      </w:r>
    </w:p>
    <w:p w:rsidR="005C1CDF" w:rsidRDefault="005C1CDF" w:rsidP="005C1CDF">
      <w:pPr>
        <w:pStyle w:val="NormalWeb"/>
        <w:spacing w:before="120" w:beforeAutospacing="0"/>
      </w:pPr>
      <w:r>
        <w:rPr>
          <w:i/>
          <w:iCs/>
        </w:rPr>
        <w:t>Căn cứ Nghị định số 62/2013/NĐ-CP ngày 25/6/2013 của Chính phủ quy định chức năng, nhiệm vụ, quyền hạn và cơ cấu tổ chức của Bộ Xây dựng;</w:t>
      </w:r>
    </w:p>
    <w:p w:rsidR="005C1CDF" w:rsidRDefault="005C1CDF" w:rsidP="005C1CDF">
      <w:pPr>
        <w:pStyle w:val="NormalWeb"/>
        <w:spacing w:before="120" w:beforeAutospacing="0"/>
      </w:pPr>
      <w:r>
        <w:rPr>
          <w:i/>
          <w:iCs/>
        </w:rPr>
        <w:t>Căn cứ Nghị định số 24a/2016/NĐ-CP ngày 05/4/2016 của Chính phủ về quản lý vật liệu xây dựng;</w:t>
      </w:r>
    </w:p>
    <w:p w:rsidR="005C1CDF" w:rsidRDefault="005C1CDF" w:rsidP="005C1CDF">
      <w:pPr>
        <w:pStyle w:val="NormalWeb"/>
        <w:spacing w:before="120" w:beforeAutospacing="0"/>
      </w:pPr>
      <w:r>
        <w:rPr>
          <w:i/>
          <w:iCs/>
        </w:rPr>
        <w:t>Xét đề nghị của Vụ trưởng Vụ Vật liệu xây dựng;</w:t>
      </w:r>
    </w:p>
    <w:p w:rsidR="005C1CDF" w:rsidRDefault="005C1CDF" w:rsidP="005C1CDF">
      <w:pPr>
        <w:pStyle w:val="NormalWeb"/>
        <w:spacing w:before="120" w:beforeAutospacing="0"/>
      </w:pPr>
      <w:r>
        <w:rPr>
          <w:i/>
          <w:iCs/>
        </w:rPr>
        <w:t>Bộ trưởng Bộ Xây dựng ban hành Thông tư hướng dẫn xuất khẩu vôi, đôlômit nung.</w:t>
      </w:r>
    </w:p>
    <w:p w:rsidR="005C1CDF" w:rsidRDefault="005C1CDF" w:rsidP="005C1CDF">
      <w:pPr>
        <w:pStyle w:val="NormalWeb"/>
        <w:spacing w:before="120" w:beforeAutospacing="0"/>
      </w:pPr>
      <w:r>
        <w:rPr>
          <w:b/>
          <w:bCs/>
        </w:rPr>
        <w:t>Điều 1. Phạm vi điều chỉnh và đối tượng áp dụng</w:t>
      </w:r>
    </w:p>
    <w:p w:rsidR="005C1CDF" w:rsidRDefault="005C1CDF" w:rsidP="005C1CDF">
      <w:pPr>
        <w:pStyle w:val="NormalWeb"/>
        <w:spacing w:before="120" w:beforeAutospacing="0"/>
      </w:pPr>
      <w:r>
        <w:t>1. Thông tư này hướng dẫn một số điều kiện liên quan đến việc xuất khẩu vôi (Mã HS: 2522.10.00; 2522.20.000; 2522.30.00) và đôlômit nung (Mã HS: 2518.20.00), các hồ sơ, thủ tục khi doanh nghiệp xuất khẩu vôi, đôlômit nung thực hiện đúng các quy định của cơ quan Hải quan.</w:t>
      </w:r>
    </w:p>
    <w:p w:rsidR="005C1CDF" w:rsidRDefault="005C1CDF" w:rsidP="005C1CDF">
      <w:pPr>
        <w:pStyle w:val="NormalWeb"/>
        <w:spacing w:before="120" w:beforeAutospacing="0"/>
      </w:pPr>
      <w:r>
        <w:t>2. Thông tư này áp dụng đối với cơ quan quản lý nhà nước, các tổ chức, doanh nghiệp có hoạt động liên quan đến khai thác, sản xuất và xuất khẩu vôi, đôlômit nung.</w:t>
      </w:r>
    </w:p>
    <w:p w:rsidR="005C1CDF" w:rsidRDefault="005C1CDF" w:rsidP="005C1CDF">
      <w:pPr>
        <w:pStyle w:val="NormalWeb"/>
        <w:spacing w:before="120" w:beforeAutospacing="0"/>
      </w:pPr>
      <w:r>
        <w:rPr>
          <w:b/>
          <w:bCs/>
        </w:rPr>
        <w:t>Điều 2. Điều kiện vôi, đôlômit nung công nghiệp xuất khẩu</w:t>
      </w:r>
    </w:p>
    <w:p w:rsidR="005C1CDF" w:rsidRDefault="005C1CDF" w:rsidP="005C1CDF">
      <w:pPr>
        <w:pStyle w:val="NormalWeb"/>
        <w:spacing w:before="120" w:beforeAutospacing="0"/>
      </w:pPr>
      <w:r>
        <w:t>1. Vôi, đôlômit nung công nghiệp xuất khẩu phải được sản xuất từ cơ sở sản xuất công nghiệp nằm trong Quy hoạch phát triển công nghiệp vôi đến năm 2020 và định hướng đến năm 2030 đã được cơ quan nhà nước có thẩm quyền phê duyệt (sau đây viết tắt là Quy hoạch).</w:t>
      </w:r>
    </w:p>
    <w:p w:rsidR="005C1CDF" w:rsidRDefault="005C1CDF" w:rsidP="005C1CDF">
      <w:pPr>
        <w:pStyle w:val="NormalWeb"/>
        <w:spacing w:before="120" w:beforeAutospacing="0"/>
      </w:pPr>
      <w:r>
        <w:t>2. Lượng sản phẩm vôi, đôlômit nung xuất khẩu từ mỗi cơ sở sản xuất không vượt quá công suất đã được cơ quan nhà nước có thẩm quyền cho phép đầu tư theo quy định và không vượt quá công suất đã ghi trong Quy hoạch.</w:t>
      </w:r>
    </w:p>
    <w:p w:rsidR="005C1CDF" w:rsidRDefault="005C1CDF" w:rsidP="005C1CDF">
      <w:pPr>
        <w:pStyle w:val="NormalWeb"/>
        <w:spacing w:before="120" w:beforeAutospacing="0"/>
      </w:pPr>
      <w:r>
        <w:t>3. Doanh nghiệp khi xuất khẩu phải nộp bản sao Giấy phép khai thác khoáng sản theo quy định để sản xuất vôi, đôlômit nung cho cơ quan Hải quan.</w:t>
      </w:r>
    </w:p>
    <w:p w:rsidR="005C1CDF" w:rsidRDefault="005C1CDF" w:rsidP="005C1CDF">
      <w:pPr>
        <w:pStyle w:val="NormalWeb"/>
        <w:spacing w:before="120" w:beforeAutospacing="0"/>
      </w:pPr>
      <w:r>
        <w:rPr>
          <w:b/>
          <w:bCs/>
        </w:rPr>
        <w:t>Điều 3. Điều kiện vôi, đôlômit nung thủ công xuất khẩu</w:t>
      </w:r>
    </w:p>
    <w:p w:rsidR="005C1CDF" w:rsidRDefault="005C1CDF" w:rsidP="005C1CDF">
      <w:pPr>
        <w:pStyle w:val="NormalWeb"/>
        <w:spacing w:before="120" w:beforeAutospacing="0"/>
      </w:pPr>
      <w:r>
        <w:lastRenderedPageBreak/>
        <w:t>1. Sản phẩm vôi, đôlômit nung xuất khẩu từ các cơ sở sản xuất thủ công giảm dần theo lộ trình xóa bỏ trong Quy hoạch và kế hoạch thực hiện lộ trình do Ủy ban nhân dân các tỉnh, thành phố trực thuộc Trung ương ban hành, đảm bảo sau năm 2020 dừng xuất khẩu vôi, đôlômit nung thủ công.</w:t>
      </w:r>
    </w:p>
    <w:p w:rsidR="005C1CDF" w:rsidRDefault="005C1CDF" w:rsidP="005C1CDF">
      <w:pPr>
        <w:pStyle w:val="NormalWeb"/>
        <w:spacing w:before="120" w:beforeAutospacing="0"/>
      </w:pPr>
      <w:r>
        <w:t>2. Căn cứ vào cân đối nhu cầu sử dụng vôi, đôlômit nung trong nước và xuất khẩu, ý kiến của Ủy ban nhân dân các tỉnh, thành phố trực thuộc Trung ương, Bộ Xây dựng hướng dẫn xuất khẩu vôi, đôlômit đối với các cơ sở sản xuất thủ công.</w:t>
      </w:r>
    </w:p>
    <w:p w:rsidR="005C1CDF" w:rsidRDefault="005C1CDF" w:rsidP="005C1CDF">
      <w:pPr>
        <w:pStyle w:val="NormalWeb"/>
        <w:spacing w:before="120" w:beforeAutospacing="0"/>
      </w:pPr>
      <w:r>
        <w:t>3. Doanh nghiệp khi xuất khẩu phải nộp bản sao Giấy phép khai thác khoáng sản theo quy định để sản xuất vôi, đôlômit nung cho cơ quan Hải quan.</w:t>
      </w:r>
    </w:p>
    <w:p w:rsidR="005C1CDF" w:rsidRDefault="005C1CDF" w:rsidP="005C1CDF">
      <w:pPr>
        <w:pStyle w:val="NormalWeb"/>
        <w:spacing w:before="120" w:beforeAutospacing="0"/>
      </w:pPr>
      <w:r>
        <w:rPr>
          <w:b/>
          <w:bCs/>
        </w:rPr>
        <w:t>Điều 4. Điều kiện doanh nghiệp thương mại xuất khẩu vôi, đôlômit nung</w:t>
      </w:r>
    </w:p>
    <w:p w:rsidR="005C1CDF" w:rsidRDefault="005C1CDF" w:rsidP="005C1CDF">
      <w:pPr>
        <w:pStyle w:val="NormalWeb"/>
        <w:spacing w:before="120" w:beforeAutospacing="0"/>
      </w:pPr>
      <w:r>
        <w:t>Sản phẩm vôi, đôlômit nung khi xuất khẩu phải đảm bảo xuất xứ theo quy định tại Điều 2 và Điều 3 của Thông tư này.</w:t>
      </w:r>
    </w:p>
    <w:p w:rsidR="005C1CDF" w:rsidRDefault="005C1CDF" w:rsidP="005C1CDF">
      <w:pPr>
        <w:pStyle w:val="NormalWeb"/>
        <w:spacing w:before="120" w:beforeAutospacing="0"/>
      </w:pPr>
      <w:r>
        <w:rPr>
          <w:b/>
          <w:bCs/>
        </w:rPr>
        <w:t>Điều 5. Báo cáo của Doanh nghiệp về xuất khẩu vôi và đôlômit nung</w:t>
      </w:r>
    </w:p>
    <w:p w:rsidR="005C1CDF" w:rsidRDefault="005C1CDF" w:rsidP="005C1CDF">
      <w:pPr>
        <w:pStyle w:val="NormalWeb"/>
        <w:spacing w:before="120" w:beforeAutospacing="0"/>
      </w:pPr>
      <w:r>
        <w:t>1. Doanh nghiệp xuất khẩu vôi và đôlômit nung có trách nhiệm báo cáo các cơ quan liên quan nơi có doanh nghiệp đầu tư sản xuất và kinh doanh định kỳ 6 tháng một lần (trước ngày 15/02 và ngày 30/8 hàng năm) hoặc báo cáo đột xuất để phục vụ công tác quản lý theo yêu cầu.</w:t>
      </w:r>
    </w:p>
    <w:p w:rsidR="005C1CDF" w:rsidRDefault="005C1CDF" w:rsidP="005C1CDF">
      <w:pPr>
        <w:pStyle w:val="NormalWeb"/>
        <w:spacing w:before="120" w:beforeAutospacing="0"/>
      </w:pPr>
      <w:r>
        <w:t>2. Nội dung báo cáo theo Biểu mẫu 1a, 1b tại Phụ lục kèm theo Thông tư này; Doanh nghiệp tự chịu trách nhiệm về tính chính xác, trung thực của số liệu, thông tin báo cáo.</w:t>
      </w:r>
    </w:p>
    <w:p w:rsidR="005C1CDF" w:rsidRDefault="005C1CDF" w:rsidP="005C1CDF">
      <w:pPr>
        <w:pStyle w:val="NormalWeb"/>
        <w:spacing w:before="120" w:beforeAutospacing="0"/>
      </w:pPr>
      <w:r>
        <w:rPr>
          <w:b/>
          <w:bCs/>
        </w:rPr>
        <w:t>Điều 6. Tổ chức thực hiện</w:t>
      </w:r>
    </w:p>
    <w:p w:rsidR="005C1CDF" w:rsidRDefault="005C1CDF" w:rsidP="005C1CDF">
      <w:pPr>
        <w:pStyle w:val="NormalWeb"/>
        <w:spacing w:before="120" w:beforeAutospacing="0"/>
      </w:pPr>
      <w:r>
        <w:t>1. Thông tư này có hiệu lực thi hành kể từ ngày 25 tháng 7 năm 2017.</w:t>
      </w:r>
    </w:p>
    <w:p w:rsidR="005C1CDF" w:rsidRDefault="005C1CDF" w:rsidP="005C1CDF">
      <w:pPr>
        <w:pStyle w:val="NormalWeb"/>
        <w:spacing w:before="120" w:beforeAutospacing="0"/>
      </w:pPr>
      <w:r>
        <w:t>2. Trong quá trình thực hiện nếu có vướng mắc, các Bộ, ngành, địa phương, các tổ chức và cá nhân kịp thời phản ánh về Bộ Xây dựng để xem xét, giải quyết./.</w:t>
      </w:r>
    </w:p>
    <w:p w:rsidR="005C1CDF" w:rsidRDefault="005C1CDF" w:rsidP="005C1CDF">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5C1CDF" w:rsidTr="00E07699">
        <w:tc>
          <w:tcPr>
            <w:tcW w:w="4428" w:type="dxa"/>
            <w:tcMar>
              <w:top w:w="0" w:type="dxa"/>
              <w:left w:w="108" w:type="dxa"/>
              <w:bottom w:w="0" w:type="dxa"/>
              <w:right w:w="108" w:type="dxa"/>
            </w:tcMar>
            <w:hideMark/>
          </w:tcPr>
          <w:p w:rsidR="005C1CDF" w:rsidRDefault="005C1CDF" w:rsidP="00E07699">
            <w:pPr>
              <w:pStyle w:val="NormalWeb"/>
              <w:spacing w:before="120" w:beforeAutospacing="0"/>
            </w:pPr>
            <w:r>
              <w:br/>
            </w:r>
            <w:r>
              <w:rPr>
                <w:b/>
                <w:bCs/>
                <w:i/>
                <w:iCs/>
              </w:rPr>
              <w:t>Nơi nhận:</w:t>
            </w:r>
            <w:r>
              <w:rPr>
                <w:b/>
                <w:bCs/>
                <w:i/>
                <w:iCs/>
              </w:rPr>
              <w:br/>
            </w:r>
            <w:r>
              <w:rPr>
                <w:sz w:val="16"/>
                <w:szCs w:val="16"/>
              </w:rPr>
              <w:t>- Thủ tướng, các PTTg Chính phủ;</w:t>
            </w:r>
            <w:r>
              <w:rPr>
                <w:sz w:val="16"/>
                <w:szCs w:val="16"/>
              </w:rPr>
              <w:br/>
              <w:t>- Các Bộ, cơ quan ngang Bộ, cơ quan thuộc Chính phủ;</w:t>
            </w:r>
            <w:r>
              <w:rPr>
                <w:sz w:val="16"/>
                <w:szCs w:val="16"/>
              </w:rPr>
              <w:br/>
              <w:t>- HĐND, UBND các tỉnh, thành phố trực thuộc TW;</w:t>
            </w:r>
            <w:r>
              <w:rPr>
                <w:sz w:val="16"/>
                <w:szCs w:val="16"/>
              </w:rPr>
              <w:br/>
              <w:t>- Văn phòng TW và các Ban của Đảng;</w:t>
            </w:r>
            <w:r>
              <w:rPr>
                <w:sz w:val="16"/>
                <w:szCs w:val="16"/>
              </w:rPr>
              <w:br/>
              <w:t>- Văn phòng Chủ tịch nước;</w:t>
            </w:r>
            <w:r>
              <w:rPr>
                <w:sz w:val="16"/>
                <w:szCs w:val="16"/>
              </w:rPr>
              <w:br/>
              <w:t>- Hội đồng dân tộc và các UB của Quốc hội;</w:t>
            </w:r>
            <w:r>
              <w:rPr>
                <w:sz w:val="16"/>
                <w:szCs w:val="16"/>
              </w:rPr>
              <w:br/>
              <w:t>- Văn phòng Quốc hội;</w:t>
            </w:r>
            <w:r>
              <w:rPr>
                <w:sz w:val="16"/>
                <w:szCs w:val="16"/>
              </w:rPr>
              <w:br/>
              <w:t>- Tòa án nhân dân tối cao;</w:t>
            </w:r>
            <w:r>
              <w:rPr>
                <w:sz w:val="16"/>
                <w:szCs w:val="16"/>
              </w:rPr>
              <w:br/>
              <w:t>- Viện Kiểm sát nhân dân tối cao;</w:t>
            </w:r>
            <w:r>
              <w:rPr>
                <w:sz w:val="16"/>
                <w:szCs w:val="16"/>
              </w:rPr>
              <w:br/>
              <w:t>- Cục Kiểm tra văn bản QPPL - Bộ Tư pháp;</w:t>
            </w:r>
            <w:r>
              <w:rPr>
                <w:sz w:val="16"/>
                <w:szCs w:val="16"/>
              </w:rPr>
              <w:br/>
              <w:t>- Cơ quan Trung ương của các đoàn thể;</w:t>
            </w:r>
            <w:r>
              <w:rPr>
                <w:sz w:val="16"/>
                <w:szCs w:val="16"/>
              </w:rPr>
              <w:br/>
              <w:t>- Tổng cục Hải quan;</w:t>
            </w:r>
            <w:r>
              <w:rPr>
                <w:sz w:val="16"/>
                <w:szCs w:val="16"/>
              </w:rPr>
              <w:br/>
              <w:t>- Sở Xây dựng các tỉnh, thành phố trực thuộc TW;</w:t>
            </w:r>
            <w:r>
              <w:rPr>
                <w:sz w:val="16"/>
                <w:szCs w:val="16"/>
              </w:rPr>
              <w:br/>
              <w:t>- Các Cục, Vụ, Viện, Văn phòng, Thanh tra Bộ Xây dựng;</w:t>
            </w:r>
            <w:r>
              <w:rPr>
                <w:sz w:val="16"/>
                <w:szCs w:val="16"/>
              </w:rPr>
              <w:br/>
              <w:t>- Công báo; website Chính phủ; website Bộ Xây dựng;</w:t>
            </w:r>
            <w:r>
              <w:rPr>
                <w:sz w:val="16"/>
                <w:szCs w:val="16"/>
              </w:rPr>
              <w:br/>
            </w:r>
            <w:r>
              <w:rPr>
                <w:sz w:val="16"/>
                <w:szCs w:val="16"/>
              </w:rPr>
              <w:lastRenderedPageBreak/>
              <w:t>- Lưu: VT, PC, Vụ VLXD (5b).</w:t>
            </w:r>
          </w:p>
        </w:tc>
        <w:tc>
          <w:tcPr>
            <w:tcW w:w="4428" w:type="dxa"/>
            <w:tcMar>
              <w:top w:w="0" w:type="dxa"/>
              <w:left w:w="108" w:type="dxa"/>
              <w:bottom w:w="0" w:type="dxa"/>
              <w:right w:w="108" w:type="dxa"/>
            </w:tcMar>
            <w:hideMark/>
          </w:tcPr>
          <w:p w:rsidR="005C1CDF" w:rsidRDefault="005C1CDF" w:rsidP="00E07699">
            <w:pPr>
              <w:pStyle w:val="NormalWeb"/>
              <w:spacing w:before="120" w:beforeAutospacing="0"/>
              <w:jc w:val="center"/>
            </w:pPr>
            <w:r>
              <w:rPr>
                <w:b/>
                <w:bCs/>
              </w:rPr>
              <w:lastRenderedPageBreak/>
              <w:t>KT. BỘ TRƯỞNG</w:t>
            </w:r>
            <w:r>
              <w:rPr>
                <w:b/>
                <w:bCs/>
              </w:rPr>
              <w:br/>
              <w:t>THỨ TRƯỞNG</w:t>
            </w:r>
            <w:r>
              <w:rPr>
                <w:b/>
                <w:bCs/>
              </w:rPr>
              <w:br/>
            </w:r>
            <w:r>
              <w:rPr>
                <w:b/>
                <w:bCs/>
              </w:rPr>
              <w:br/>
            </w:r>
            <w:r>
              <w:rPr>
                <w:b/>
                <w:bCs/>
              </w:rPr>
              <w:br/>
            </w:r>
            <w:r>
              <w:rPr>
                <w:b/>
                <w:bCs/>
              </w:rPr>
              <w:br/>
            </w:r>
            <w:r>
              <w:rPr>
                <w:b/>
                <w:bCs/>
              </w:rPr>
              <w:br/>
              <w:t>Bùi Phạm Khánh</w:t>
            </w:r>
          </w:p>
        </w:tc>
      </w:tr>
    </w:tbl>
    <w:p w:rsidR="005C1CDF" w:rsidRDefault="005C1CDF" w:rsidP="005C1CDF">
      <w:pPr>
        <w:pStyle w:val="NormalWeb"/>
        <w:spacing w:before="120" w:beforeAutospacing="0"/>
        <w:jc w:val="center"/>
      </w:pPr>
      <w:r>
        <w:rPr>
          <w:rFonts w:eastAsia="Times New Roman"/>
        </w:rPr>
        <w:lastRenderedPageBreak/>
        <w:br w:type="page"/>
      </w:r>
      <w:r>
        <w:rPr>
          <w:lang w:val="vi-VN"/>
        </w:rPr>
        <w:lastRenderedPageBreak/>
        <w:t> </w:t>
      </w:r>
    </w:p>
    <w:p w:rsidR="005C1CDF" w:rsidRDefault="005C1CDF" w:rsidP="005C1CDF">
      <w:pPr>
        <w:pStyle w:val="NormalWeb"/>
        <w:spacing w:before="120" w:beforeAutospacing="0"/>
        <w:jc w:val="center"/>
      </w:pPr>
      <w:r>
        <w:rPr>
          <w:b/>
          <w:bCs/>
        </w:rPr>
        <w:t>PHỤ LỤC</w:t>
      </w:r>
    </w:p>
    <w:p w:rsidR="005C1CDF" w:rsidRDefault="005C1CDF" w:rsidP="005C1CDF">
      <w:pPr>
        <w:pStyle w:val="NormalWeb"/>
        <w:spacing w:before="120" w:beforeAutospacing="0"/>
        <w:jc w:val="center"/>
      </w:pPr>
      <w:r>
        <w:t>BÁO CÁO TÌNH HÌNH XUẤT KHẨU VÔI, ĐÔLÔMIT NUNG XUẤT KHẨU NĂM… (HOẶC 6 THÁNG ĐẦU NĂM….)</w:t>
      </w:r>
      <w:r>
        <w:br/>
      </w:r>
      <w:r>
        <w:rPr>
          <w:i/>
          <w:iCs/>
        </w:rPr>
        <w:t>(Ban hành kèm theo Thông tư số 09/2017/TT-BXD ngày 05 tháng 6 năm 2017 của Bộ Xây dựng Hướng dẫn xuất khẩu vôi, đôlômit nung)</w:t>
      </w:r>
    </w:p>
    <w:p w:rsidR="005C1CDF" w:rsidRDefault="005C1CDF" w:rsidP="005C1CDF">
      <w:pPr>
        <w:pStyle w:val="NormalWeb"/>
        <w:spacing w:before="120" w:beforeAutospacing="0"/>
        <w:jc w:val="center"/>
      </w:pPr>
      <w:r>
        <w:t>Biểu mẫu 1a: Đối với doanh nghiệp sản xuất và xuất khẩu vôi, đôlômit nung</w:t>
      </w:r>
    </w:p>
    <w:tbl>
      <w:tblPr>
        <w:tblW w:w="5000" w:type="pct"/>
        <w:tblCellMar>
          <w:left w:w="0" w:type="dxa"/>
          <w:right w:w="0" w:type="dxa"/>
        </w:tblCellMar>
        <w:tblLook w:val="04A0" w:firstRow="1" w:lastRow="0" w:firstColumn="1" w:lastColumn="0" w:noHBand="0" w:noVBand="1"/>
      </w:tblPr>
      <w:tblGrid>
        <w:gridCol w:w="417"/>
        <w:gridCol w:w="1940"/>
        <w:gridCol w:w="1203"/>
        <w:gridCol w:w="1355"/>
        <w:gridCol w:w="936"/>
        <w:gridCol w:w="925"/>
        <w:gridCol w:w="929"/>
        <w:gridCol w:w="929"/>
        <w:gridCol w:w="746"/>
      </w:tblGrid>
      <w:tr w:rsidR="005C1CDF" w:rsidTr="00E07699">
        <w:tc>
          <w:tcPr>
            <w:tcW w:w="253" w:type="pct"/>
            <w:tcBorders>
              <w:top w:val="single" w:sz="8" w:space="0" w:color="auto"/>
              <w:left w:val="single" w:sz="8" w:space="0" w:color="auto"/>
              <w:bottom w:val="single" w:sz="8" w:space="0" w:color="auto"/>
              <w:right w:val="single" w:sz="8" w:space="0" w:color="auto"/>
            </w:tcBorders>
            <w:vAlign w:val="center"/>
            <w:hideMark/>
          </w:tcPr>
          <w:p w:rsidR="005C1CDF" w:rsidRDefault="005C1CDF" w:rsidP="00E07699">
            <w:pPr>
              <w:pStyle w:val="NormalWeb"/>
              <w:spacing w:before="120" w:beforeAutospacing="0"/>
              <w:jc w:val="center"/>
            </w:pPr>
            <w:r>
              <w:rPr>
                <w:b/>
                <w:bCs/>
              </w:rPr>
              <w:t>TT</w:t>
            </w:r>
          </w:p>
        </w:tc>
        <w:tc>
          <w:tcPr>
            <w:tcW w:w="787" w:type="pct"/>
            <w:tcBorders>
              <w:top w:val="single" w:sz="8" w:space="0" w:color="auto"/>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rPr>
                <w:b/>
                <w:bCs/>
              </w:rPr>
              <w:t>Tên doanh nghiệp sản xuất, xuất khẩu</w:t>
            </w:r>
          </w:p>
        </w:tc>
        <w:tc>
          <w:tcPr>
            <w:tcW w:w="672" w:type="pct"/>
            <w:tcBorders>
              <w:top w:val="single" w:sz="8" w:space="0" w:color="auto"/>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rPr>
                <w:b/>
                <w:bCs/>
              </w:rPr>
              <w:t>Công suất vôi, đôlômit nung (nghìn tấn/năm)</w:t>
            </w:r>
          </w:p>
        </w:tc>
        <w:tc>
          <w:tcPr>
            <w:tcW w:w="753" w:type="pct"/>
            <w:tcBorders>
              <w:top w:val="single" w:sz="8" w:space="0" w:color="auto"/>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rPr>
                <w:b/>
                <w:bCs/>
              </w:rPr>
              <w:t>Cơ quan nhà nước có thẩm quyền cho phép đầu tư theo quy định</w:t>
            </w:r>
          </w:p>
        </w:tc>
        <w:tc>
          <w:tcPr>
            <w:tcW w:w="530" w:type="pct"/>
            <w:tcBorders>
              <w:top w:val="single" w:sz="8" w:space="0" w:color="auto"/>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rPr>
                <w:b/>
                <w:bCs/>
              </w:rPr>
              <w:t>Số Giấy phép khai thác khoáng sản</w:t>
            </w:r>
          </w:p>
        </w:tc>
        <w:tc>
          <w:tcPr>
            <w:tcW w:w="524" w:type="pct"/>
            <w:tcBorders>
              <w:top w:val="single" w:sz="8" w:space="0" w:color="auto"/>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rPr>
                <w:b/>
                <w:bCs/>
              </w:rPr>
              <w:t>Khối lượng xuất khẩu</w:t>
            </w:r>
          </w:p>
        </w:tc>
        <w:tc>
          <w:tcPr>
            <w:tcW w:w="526" w:type="pct"/>
            <w:tcBorders>
              <w:top w:val="single" w:sz="8" w:space="0" w:color="auto"/>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rPr>
                <w:b/>
                <w:bCs/>
              </w:rPr>
              <w:t>Giá trị (USD)</w:t>
            </w:r>
          </w:p>
        </w:tc>
        <w:tc>
          <w:tcPr>
            <w:tcW w:w="526" w:type="pct"/>
            <w:tcBorders>
              <w:top w:val="single" w:sz="8" w:space="0" w:color="auto"/>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rPr>
                <w:b/>
                <w:bCs/>
              </w:rPr>
              <w:t>Giá trị nộp thuế xuất khẩu (USD)</w:t>
            </w:r>
          </w:p>
        </w:tc>
        <w:tc>
          <w:tcPr>
            <w:tcW w:w="428" w:type="pct"/>
            <w:tcBorders>
              <w:top w:val="single" w:sz="8" w:space="0" w:color="auto"/>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rPr>
                <w:b/>
                <w:bCs/>
              </w:rPr>
              <w:t>Nước xuất khẩu</w:t>
            </w:r>
          </w:p>
        </w:tc>
      </w:tr>
      <w:tr w:rsidR="005C1CDF" w:rsidTr="00E07699">
        <w:tc>
          <w:tcPr>
            <w:tcW w:w="253" w:type="pct"/>
            <w:tcBorders>
              <w:top w:val="nil"/>
              <w:left w:val="single" w:sz="8" w:space="0" w:color="auto"/>
              <w:bottom w:val="single" w:sz="8" w:space="0" w:color="auto"/>
              <w:right w:val="single" w:sz="8" w:space="0" w:color="auto"/>
            </w:tcBorders>
            <w:vAlign w:val="center"/>
            <w:hideMark/>
          </w:tcPr>
          <w:p w:rsidR="005C1CDF" w:rsidRDefault="005C1CDF" w:rsidP="00E07699">
            <w:pPr>
              <w:pStyle w:val="NormalWeb"/>
              <w:spacing w:before="120" w:beforeAutospacing="0"/>
              <w:jc w:val="center"/>
            </w:pPr>
            <w:r>
              <w:t>(1)</w:t>
            </w:r>
          </w:p>
        </w:tc>
        <w:tc>
          <w:tcPr>
            <w:tcW w:w="787"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(2)</w:t>
            </w:r>
          </w:p>
        </w:tc>
        <w:tc>
          <w:tcPr>
            <w:tcW w:w="672"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(3)</w:t>
            </w:r>
          </w:p>
        </w:tc>
        <w:tc>
          <w:tcPr>
            <w:tcW w:w="753"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(4)</w:t>
            </w:r>
          </w:p>
        </w:tc>
        <w:tc>
          <w:tcPr>
            <w:tcW w:w="530"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(5)</w:t>
            </w:r>
          </w:p>
        </w:tc>
        <w:tc>
          <w:tcPr>
            <w:tcW w:w="524"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(6)</w:t>
            </w:r>
          </w:p>
        </w:tc>
        <w:tc>
          <w:tcPr>
            <w:tcW w:w="526"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(7)</w:t>
            </w:r>
          </w:p>
        </w:tc>
        <w:tc>
          <w:tcPr>
            <w:tcW w:w="526"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(8)</w:t>
            </w:r>
          </w:p>
        </w:tc>
        <w:tc>
          <w:tcPr>
            <w:tcW w:w="428"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(9)</w:t>
            </w:r>
          </w:p>
        </w:tc>
      </w:tr>
      <w:tr w:rsidR="005C1CDF" w:rsidTr="00E07699">
        <w:tc>
          <w:tcPr>
            <w:tcW w:w="253" w:type="pct"/>
            <w:tcBorders>
              <w:top w:val="nil"/>
              <w:left w:val="single" w:sz="8" w:space="0" w:color="auto"/>
              <w:bottom w:val="single" w:sz="8" w:space="0" w:color="auto"/>
              <w:right w:val="single" w:sz="8" w:space="0" w:color="auto"/>
            </w:tcBorders>
            <w:vAlign w:val="center"/>
            <w:hideMark/>
          </w:tcPr>
          <w:p w:rsidR="005C1CDF" w:rsidRDefault="005C1CDF" w:rsidP="00E07699">
            <w:pPr>
              <w:pStyle w:val="NormalWeb"/>
              <w:spacing w:before="120" w:beforeAutospacing="0"/>
              <w:jc w:val="center"/>
            </w:pPr>
            <w:r>
              <w:t>1</w:t>
            </w:r>
          </w:p>
        </w:tc>
        <w:tc>
          <w:tcPr>
            <w:tcW w:w="787"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pPr>
            <w:r>
              <w:t>Doanh nghiệp A</w:t>
            </w:r>
          </w:p>
        </w:tc>
        <w:tc>
          <w:tcPr>
            <w:tcW w:w="672"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 </w:t>
            </w:r>
          </w:p>
        </w:tc>
        <w:tc>
          <w:tcPr>
            <w:tcW w:w="753"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 </w:t>
            </w:r>
          </w:p>
        </w:tc>
        <w:tc>
          <w:tcPr>
            <w:tcW w:w="530"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 </w:t>
            </w:r>
          </w:p>
        </w:tc>
        <w:tc>
          <w:tcPr>
            <w:tcW w:w="524"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 </w:t>
            </w:r>
          </w:p>
        </w:tc>
        <w:tc>
          <w:tcPr>
            <w:tcW w:w="526"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 </w:t>
            </w:r>
          </w:p>
        </w:tc>
        <w:tc>
          <w:tcPr>
            <w:tcW w:w="526"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 </w:t>
            </w:r>
          </w:p>
        </w:tc>
        <w:tc>
          <w:tcPr>
            <w:tcW w:w="428"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 </w:t>
            </w:r>
          </w:p>
        </w:tc>
      </w:tr>
      <w:tr w:rsidR="005C1CDF" w:rsidTr="00E07699">
        <w:tc>
          <w:tcPr>
            <w:tcW w:w="253" w:type="pct"/>
            <w:tcBorders>
              <w:top w:val="nil"/>
              <w:left w:val="single" w:sz="8" w:space="0" w:color="auto"/>
              <w:bottom w:val="single" w:sz="8" w:space="0" w:color="auto"/>
              <w:right w:val="single" w:sz="8" w:space="0" w:color="auto"/>
            </w:tcBorders>
            <w:vAlign w:val="center"/>
            <w:hideMark/>
          </w:tcPr>
          <w:p w:rsidR="005C1CDF" w:rsidRDefault="005C1CDF" w:rsidP="00E07699">
            <w:pPr>
              <w:pStyle w:val="NormalWeb"/>
              <w:spacing w:before="120" w:beforeAutospacing="0"/>
              <w:jc w:val="center"/>
            </w:pPr>
            <w:r>
              <w:t>2</w:t>
            </w:r>
          </w:p>
        </w:tc>
        <w:tc>
          <w:tcPr>
            <w:tcW w:w="787"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pPr>
            <w:r>
              <w:t>Doanh nghiệp B</w:t>
            </w:r>
          </w:p>
        </w:tc>
        <w:tc>
          <w:tcPr>
            <w:tcW w:w="672"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 </w:t>
            </w:r>
          </w:p>
        </w:tc>
        <w:tc>
          <w:tcPr>
            <w:tcW w:w="753"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 </w:t>
            </w:r>
          </w:p>
        </w:tc>
        <w:tc>
          <w:tcPr>
            <w:tcW w:w="530"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 </w:t>
            </w:r>
          </w:p>
        </w:tc>
        <w:tc>
          <w:tcPr>
            <w:tcW w:w="524"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 </w:t>
            </w:r>
          </w:p>
        </w:tc>
        <w:tc>
          <w:tcPr>
            <w:tcW w:w="526"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 </w:t>
            </w:r>
          </w:p>
        </w:tc>
        <w:tc>
          <w:tcPr>
            <w:tcW w:w="526"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 </w:t>
            </w:r>
          </w:p>
        </w:tc>
        <w:tc>
          <w:tcPr>
            <w:tcW w:w="428"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 </w:t>
            </w:r>
          </w:p>
        </w:tc>
      </w:tr>
      <w:tr w:rsidR="005C1CDF" w:rsidTr="00E07699">
        <w:tc>
          <w:tcPr>
            <w:tcW w:w="253" w:type="pct"/>
            <w:tcBorders>
              <w:top w:val="nil"/>
              <w:left w:val="single" w:sz="8" w:space="0" w:color="auto"/>
              <w:bottom w:val="single" w:sz="8" w:space="0" w:color="auto"/>
              <w:right w:val="single" w:sz="8" w:space="0" w:color="auto"/>
            </w:tcBorders>
            <w:vAlign w:val="center"/>
            <w:hideMark/>
          </w:tcPr>
          <w:p w:rsidR="005C1CDF" w:rsidRDefault="005C1CDF" w:rsidP="00E07699">
            <w:pPr>
              <w:pStyle w:val="NormalWeb"/>
              <w:spacing w:before="120" w:beforeAutospacing="0"/>
              <w:jc w:val="center"/>
            </w:pPr>
            <w:r>
              <w:t>3</w:t>
            </w:r>
          </w:p>
        </w:tc>
        <w:tc>
          <w:tcPr>
            <w:tcW w:w="787"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pPr>
            <w:r>
              <w:t>……………………</w:t>
            </w:r>
          </w:p>
        </w:tc>
        <w:tc>
          <w:tcPr>
            <w:tcW w:w="672"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 </w:t>
            </w:r>
          </w:p>
        </w:tc>
        <w:tc>
          <w:tcPr>
            <w:tcW w:w="753"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 </w:t>
            </w:r>
          </w:p>
        </w:tc>
        <w:tc>
          <w:tcPr>
            <w:tcW w:w="530"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 </w:t>
            </w:r>
          </w:p>
        </w:tc>
        <w:tc>
          <w:tcPr>
            <w:tcW w:w="524"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 </w:t>
            </w:r>
          </w:p>
        </w:tc>
        <w:tc>
          <w:tcPr>
            <w:tcW w:w="526"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 </w:t>
            </w:r>
          </w:p>
        </w:tc>
        <w:tc>
          <w:tcPr>
            <w:tcW w:w="526"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 </w:t>
            </w:r>
          </w:p>
        </w:tc>
        <w:tc>
          <w:tcPr>
            <w:tcW w:w="428"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 </w:t>
            </w:r>
          </w:p>
        </w:tc>
      </w:tr>
    </w:tbl>
    <w:p w:rsidR="005C1CDF" w:rsidRDefault="005C1CDF" w:rsidP="005C1CDF">
      <w:pPr>
        <w:pStyle w:val="NormalWeb"/>
        <w:spacing w:before="120" w:beforeAutospacing="0"/>
      </w:pPr>
      <w:r>
        <w:t> </w:t>
      </w:r>
    </w:p>
    <w:p w:rsidR="005C1CDF" w:rsidRDefault="005C1CDF" w:rsidP="005C1CDF">
      <w:pPr>
        <w:pStyle w:val="NormalWeb"/>
        <w:spacing w:before="120" w:beforeAutospacing="0"/>
        <w:jc w:val="center"/>
      </w:pPr>
      <w:r>
        <w:t>Biểu mẫu 1b: Đối với doanh nghiệp thương mại mua vôi, đôlômit nung để xuất khẩu</w:t>
      </w:r>
    </w:p>
    <w:tbl>
      <w:tblPr>
        <w:tblW w:w="5000" w:type="pct"/>
        <w:tblCellMar>
          <w:left w:w="0" w:type="dxa"/>
          <w:right w:w="0" w:type="dxa"/>
        </w:tblCellMar>
        <w:tblLook w:val="04A0" w:firstRow="1" w:lastRow="0" w:firstColumn="1" w:lastColumn="0" w:noHBand="0" w:noVBand="1"/>
      </w:tblPr>
      <w:tblGrid>
        <w:gridCol w:w="409"/>
        <w:gridCol w:w="2180"/>
        <w:gridCol w:w="1307"/>
        <w:gridCol w:w="1118"/>
        <w:gridCol w:w="934"/>
        <w:gridCol w:w="845"/>
        <w:gridCol w:w="928"/>
        <w:gridCol w:w="928"/>
        <w:gridCol w:w="731"/>
      </w:tblGrid>
      <w:tr w:rsidR="005C1CDF" w:rsidTr="00E07699">
        <w:tc>
          <w:tcPr>
            <w:tcW w:w="256" w:type="pct"/>
            <w:tcBorders>
              <w:top w:val="single" w:sz="8" w:space="0" w:color="auto"/>
              <w:left w:val="single" w:sz="8" w:space="0" w:color="auto"/>
              <w:bottom w:val="single" w:sz="8" w:space="0" w:color="auto"/>
              <w:right w:val="single" w:sz="8" w:space="0" w:color="auto"/>
            </w:tcBorders>
            <w:vAlign w:val="center"/>
            <w:hideMark/>
          </w:tcPr>
          <w:p w:rsidR="005C1CDF" w:rsidRDefault="005C1CDF" w:rsidP="00E07699">
            <w:pPr>
              <w:pStyle w:val="NormalWeb"/>
              <w:spacing w:before="120" w:beforeAutospacing="0"/>
              <w:jc w:val="center"/>
            </w:pPr>
            <w:r>
              <w:rPr>
                <w:b/>
                <w:bCs/>
              </w:rPr>
              <w:t>TT</w:t>
            </w:r>
          </w:p>
        </w:tc>
        <w:tc>
          <w:tcPr>
            <w:tcW w:w="862" w:type="pct"/>
            <w:tcBorders>
              <w:top w:val="single" w:sz="8" w:space="0" w:color="auto"/>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rPr>
                <w:b/>
                <w:bCs/>
              </w:rPr>
              <w:t>Tên doanh nghiệp xuất khẩu vôi, đôlômit</w:t>
            </w:r>
          </w:p>
        </w:tc>
        <w:tc>
          <w:tcPr>
            <w:tcW w:w="734" w:type="pct"/>
            <w:tcBorders>
              <w:top w:val="single" w:sz="8" w:space="0" w:color="auto"/>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rPr>
                <w:b/>
                <w:bCs/>
              </w:rPr>
              <w:t>Tên Doanh nghiệp sản xuất vôi, đôlômit nung</w:t>
            </w:r>
          </w:p>
        </w:tc>
        <w:tc>
          <w:tcPr>
            <w:tcW w:w="633" w:type="pct"/>
            <w:tcBorders>
              <w:top w:val="single" w:sz="8" w:space="0" w:color="auto"/>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rPr>
                <w:b/>
                <w:bCs/>
              </w:rPr>
              <w:t>Công suất vôi, đôlômit nung (nghìn tấn/năm)</w:t>
            </w:r>
          </w:p>
        </w:tc>
        <w:tc>
          <w:tcPr>
            <w:tcW w:w="535" w:type="pct"/>
            <w:tcBorders>
              <w:top w:val="single" w:sz="8" w:space="0" w:color="auto"/>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rPr>
                <w:b/>
                <w:bCs/>
              </w:rPr>
              <w:t>Số Giấy phép khai thác khoáng sản</w:t>
            </w:r>
          </w:p>
        </w:tc>
        <w:tc>
          <w:tcPr>
            <w:tcW w:w="488" w:type="pct"/>
            <w:tcBorders>
              <w:top w:val="single" w:sz="8" w:space="0" w:color="auto"/>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rPr>
                <w:b/>
                <w:bCs/>
              </w:rPr>
              <w:t>Khối lượng xuất khẩu</w:t>
            </w:r>
          </w:p>
        </w:tc>
        <w:tc>
          <w:tcPr>
            <w:tcW w:w="532" w:type="pct"/>
            <w:tcBorders>
              <w:top w:val="single" w:sz="8" w:space="0" w:color="auto"/>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rPr>
                <w:b/>
                <w:bCs/>
              </w:rPr>
              <w:t>Giá trị (USD)</w:t>
            </w:r>
          </w:p>
        </w:tc>
        <w:tc>
          <w:tcPr>
            <w:tcW w:w="532" w:type="pct"/>
            <w:tcBorders>
              <w:top w:val="single" w:sz="8" w:space="0" w:color="auto"/>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rPr>
                <w:b/>
                <w:bCs/>
              </w:rPr>
              <w:t>Giá trị nộp thuế xuất khẩu (USD)</w:t>
            </w:r>
          </w:p>
        </w:tc>
        <w:tc>
          <w:tcPr>
            <w:tcW w:w="427" w:type="pct"/>
            <w:tcBorders>
              <w:top w:val="single" w:sz="8" w:space="0" w:color="auto"/>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rPr>
                <w:b/>
                <w:bCs/>
              </w:rPr>
              <w:t>Nước xuất khẩu</w:t>
            </w:r>
          </w:p>
        </w:tc>
      </w:tr>
      <w:tr w:rsidR="005C1CDF" w:rsidTr="00E07699">
        <w:tc>
          <w:tcPr>
            <w:tcW w:w="256" w:type="pct"/>
            <w:tcBorders>
              <w:top w:val="nil"/>
              <w:left w:val="single" w:sz="8" w:space="0" w:color="auto"/>
              <w:bottom w:val="single" w:sz="8" w:space="0" w:color="auto"/>
              <w:right w:val="single" w:sz="8" w:space="0" w:color="auto"/>
            </w:tcBorders>
            <w:vAlign w:val="center"/>
            <w:hideMark/>
          </w:tcPr>
          <w:p w:rsidR="005C1CDF" w:rsidRDefault="005C1CDF" w:rsidP="00E07699">
            <w:pPr>
              <w:pStyle w:val="NormalWeb"/>
              <w:spacing w:before="120" w:beforeAutospacing="0"/>
              <w:jc w:val="center"/>
            </w:pPr>
            <w:r>
              <w:t>(1)</w:t>
            </w:r>
          </w:p>
        </w:tc>
        <w:tc>
          <w:tcPr>
            <w:tcW w:w="862"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(2)</w:t>
            </w:r>
          </w:p>
        </w:tc>
        <w:tc>
          <w:tcPr>
            <w:tcW w:w="734"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(3)</w:t>
            </w:r>
          </w:p>
        </w:tc>
        <w:tc>
          <w:tcPr>
            <w:tcW w:w="633"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(4)</w:t>
            </w:r>
          </w:p>
        </w:tc>
        <w:tc>
          <w:tcPr>
            <w:tcW w:w="535"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(5)</w:t>
            </w:r>
          </w:p>
        </w:tc>
        <w:tc>
          <w:tcPr>
            <w:tcW w:w="488"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(6)</w:t>
            </w:r>
          </w:p>
        </w:tc>
        <w:tc>
          <w:tcPr>
            <w:tcW w:w="532"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(7)</w:t>
            </w:r>
          </w:p>
        </w:tc>
        <w:tc>
          <w:tcPr>
            <w:tcW w:w="532"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(8)</w:t>
            </w:r>
          </w:p>
        </w:tc>
        <w:tc>
          <w:tcPr>
            <w:tcW w:w="427"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(9)</w:t>
            </w:r>
          </w:p>
        </w:tc>
      </w:tr>
      <w:tr w:rsidR="005C1CDF" w:rsidTr="00E07699">
        <w:tc>
          <w:tcPr>
            <w:tcW w:w="256" w:type="pct"/>
            <w:tcBorders>
              <w:top w:val="nil"/>
              <w:left w:val="single" w:sz="8" w:space="0" w:color="auto"/>
              <w:bottom w:val="single" w:sz="8" w:space="0" w:color="auto"/>
              <w:right w:val="single" w:sz="8" w:space="0" w:color="auto"/>
            </w:tcBorders>
            <w:vAlign w:val="center"/>
            <w:hideMark/>
          </w:tcPr>
          <w:p w:rsidR="005C1CDF" w:rsidRDefault="005C1CDF" w:rsidP="00E07699">
            <w:pPr>
              <w:pStyle w:val="NormalWeb"/>
              <w:spacing w:before="120" w:beforeAutospacing="0"/>
              <w:jc w:val="center"/>
            </w:pPr>
            <w:r>
              <w:t>1</w:t>
            </w:r>
          </w:p>
        </w:tc>
        <w:tc>
          <w:tcPr>
            <w:tcW w:w="862"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pPr>
            <w:r>
              <w:t>Doanh nghiệp A</w:t>
            </w:r>
          </w:p>
        </w:tc>
        <w:tc>
          <w:tcPr>
            <w:tcW w:w="734"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 </w:t>
            </w:r>
          </w:p>
        </w:tc>
        <w:tc>
          <w:tcPr>
            <w:tcW w:w="633"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 </w:t>
            </w:r>
          </w:p>
        </w:tc>
        <w:tc>
          <w:tcPr>
            <w:tcW w:w="535"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 </w:t>
            </w:r>
          </w:p>
        </w:tc>
        <w:tc>
          <w:tcPr>
            <w:tcW w:w="488"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 </w:t>
            </w:r>
          </w:p>
        </w:tc>
        <w:tc>
          <w:tcPr>
            <w:tcW w:w="532"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 </w:t>
            </w:r>
          </w:p>
        </w:tc>
        <w:tc>
          <w:tcPr>
            <w:tcW w:w="532"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 </w:t>
            </w:r>
          </w:p>
        </w:tc>
        <w:tc>
          <w:tcPr>
            <w:tcW w:w="427"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 </w:t>
            </w:r>
          </w:p>
        </w:tc>
      </w:tr>
      <w:tr w:rsidR="005C1CDF" w:rsidTr="00E07699">
        <w:tc>
          <w:tcPr>
            <w:tcW w:w="256" w:type="pct"/>
            <w:tcBorders>
              <w:top w:val="nil"/>
              <w:left w:val="single" w:sz="8" w:space="0" w:color="auto"/>
              <w:bottom w:val="single" w:sz="8" w:space="0" w:color="auto"/>
              <w:right w:val="single" w:sz="8" w:space="0" w:color="auto"/>
            </w:tcBorders>
            <w:vAlign w:val="center"/>
            <w:hideMark/>
          </w:tcPr>
          <w:p w:rsidR="005C1CDF" w:rsidRDefault="005C1CDF" w:rsidP="00E07699">
            <w:pPr>
              <w:pStyle w:val="NormalWeb"/>
              <w:spacing w:before="120" w:beforeAutospacing="0"/>
              <w:jc w:val="center"/>
            </w:pPr>
            <w:r>
              <w:t>2</w:t>
            </w:r>
          </w:p>
        </w:tc>
        <w:tc>
          <w:tcPr>
            <w:tcW w:w="862"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pPr>
            <w:r>
              <w:t>Doanh nghiệp B</w:t>
            </w:r>
          </w:p>
        </w:tc>
        <w:tc>
          <w:tcPr>
            <w:tcW w:w="734"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 </w:t>
            </w:r>
          </w:p>
        </w:tc>
        <w:tc>
          <w:tcPr>
            <w:tcW w:w="633"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 </w:t>
            </w:r>
          </w:p>
        </w:tc>
        <w:tc>
          <w:tcPr>
            <w:tcW w:w="535"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 </w:t>
            </w:r>
          </w:p>
        </w:tc>
        <w:tc>
          <w:tcPr>
            <w:tcW w:w="488"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 </w:t>
            </w:r>
          </w:p>
        </w:tc>
        <w:tc>
          <w:tcPr>
            <w:tcW w:w="532"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 </w:t>
            </w:r>
          </w:p>
        </w:tc>
        <w:tc>
          <w:tcPr>
            <w:tcW w:w="532"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 </w:t>
            </w:r>
          </w:p>
        </w:tc>
        <w:tc>
          <w:tcPr>
            <w:tcW w:w="427"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 </w:t>
            </w:r>
          </w:p>
        </w:tc>
      </w:tr>
      <w:tr w:rsidR="005C1CDF" w:rsidTr="00E07699">
        <w:tc>
          <w:tcPr>
            <w:tcW w:w="256" w:type="pct"/>
            <w:tcBorders>
              <w:top w:val="nil"/>
              <w:left w:val="single" w:sz="8" w:space="0" w:color="auto"/>
              <w:bottom w:val="single" w:sz="8" w:space="0" w:color="auto"/>
              <w:right w:val="single" w:sz="8" w:space="0" w:color="auto"/>
            </w:tcBorders>
            <w:vAlign w:val="center"/>
            <w:hideMark/>
          </w:tcPr>
          <w:p w:rsidR="005C1CDF" w:rsidRDefault="005C1CDF" w:rsidP="00E07699">
            <w:pPr>
              <w:pStyle w:val="NormalWeb"/>
              <w:spacing w:before="120" w:beforeAutospacing="0"/>
              <w:jc w:val="center"/>
            </w:pPr>
            <w:r>
              <w:t>3</w:t>
            </w:r>
          </w:p>
        </w:tc>
        <w:tc>
          <w:tcPr>
            <w:tcW w:w="862"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pPr>
            <w:r>
              <w:t>………………………</w:t>
            </w:r>
          </w:p>
        </w:tc>
        <w:tc>
          <w:tcPr>
            <w:tcW w:w="734"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 </w:t>
            </w:r>
          </w:p>
        </w:tc>
        <w:tc>
          <w:tcPr>
            <w:tcW w:w="633"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 </w:t>
            </w:r>
          </w:p>
        </w:tc>
        <w:tc>
          <w:tcPr>
            <w:tcW w:w="535"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 </w:t>
            </w:r>
          </w:p>
        </w:tc>
        <w:tc>
          <w:tcPr>
            <w:tcW w:w="488"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 </w:t>
            </w:r>
          </w:p>
        </w:tc>
        <w:tc>
          <w:tcPr>
            <w:tcW w:w="532"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 </w:t>
            </w:r>
          </w:p>
        </w:tc>
        <w:tc>
          <w:tcPr>
            <w:tcW w:w="532"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 </w:t>
            </w:r>
          </w:p>
        </w:tc>
        <w:tc>
          <w:tcPr>
            <w:tcW w:w="427" w:type="pct"/>
            <w:tcBorders>
              <w:top w:val="nil"/>
              <w:left w:val="nil"/>
              <w:bottom w:val="single" w:sz="8" w:space="0" w:color="auto"/>
              <w:right w:val="single" w:sz="8" w:space="0" w:color="auto"/>
            </w:tcBorders>
            <w:vAlign w:val="center"/>
            <w:hideMark/>
          </w:tcPr>
          <w:p w:rsidR="005C1CDF" w:rsidRDefault="005C1CDF" w:rsidP="00E07699">
            <w:pPr>
              <w:pStyle w:val="NormalWeb"/>
              <w:spacing w:before="120" w:beforeAutospacing="0"/>
              <w:jc w:val="center"/>
            </w:pPr>
            <w:r>
              <w:t> </w:t>
            </w:r>
          </w:p>
        </w:tc>
      </w:tr>
    </w:tbl>
    <w:p w:rsidR="005C1CDF" w:rsidRDefault="005C1CDF" w:rsidP="005C1CDF">
      <w:pPr>
        <w:pStyle w:val="NormalWeb"/>
        <w:spacing w:before="120" w:beforeAutospacing="0"/>
      </w:pPr>
      <w:r>
        <w:t> </w:t>
      </w:r>
    </w:p>
    <w:p w:rsidR="005C1CDF" w:rsidRDefault="005C1CDF" w:rsidP="005C1CDF">
      <w:pPr>
        <w:pStyle w:val="NormalWeb"/>
        <w:spacing w:before="120" w:beforeAutospacing="0"/>
      </w:pPr>
      <w:r>
        <w:t> </w:t>
      </w:r>
    </w:p>
    <w:p w:rsidR="00425AF3" w:rsidRDefault="00425AF3"/>
    <w:sectPr w:rsidR="00425AF3" w:rsidSect="005C1CDF">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DF"/>
    <w:rsid w:val="00425AF3"/>
    <w:rsid w:val="005C1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CD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1CD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CD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1C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2017-12-09T16:21:00Z</dcterms:created>
  <dcterms:modified xsi:type="dcterms:W3CDTF">2017-12-09T16:22:00Z</dcterms:modified>
</cp:coreProperties>
</file>