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2740"/>
        <w:gridCol w:w="6517"/>
      </w:tblGrid>
      <w:tr w:rsidR="00D64C41" w:rsidRPr="00D64C41" w:rsidTr="00D64C41">
        <w:trPr>
          <w:trHeight w:val="325"/>
          <w:jc w:val="center"/>
        </w:trPr>
        <w:tc>
          <w:tcPr>
            <w:tcW w:w="1450" w:type="pct"/>
            <w:tcMar>
              <w:top w:w="0" w:type="dxa"/>
              <w:left w:w="108" w:type="dxa"/>
              <w:bottom w:w="0" w:type="dxa"/>
              <w:right w:w="108" w:type="dxa"/>
            </w:tcMar>
            <w:hideMark/>
          </w:tcPr>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BỘ VĂN HOÁ, THỂ THAO VÀ DU LỊCH</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______________</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sz w:val="20"/>
                <w:szCs w:val="20"/>
              </w:rPr>
              <w:t xml:space="preserve">Số: </w:t>
            </w:r>
            <w:bookmarkStart w:id="0" w:name="_GoBack"/>
            <w:r w:rsidRPr="00D64C41">
              <w:rPr>
                <w:rFonts w:ascii="Arial" w:eastAsia="Times New Roman" w:hAnsi="Arial" w:cs="Arial"/>
                <w:b/>
                <w:bCs/>
                <w:sz w:val="20"/>
                <w:szCs w:val="20"/>
              </w:rPr>
              <w:t>07</w:t>
            </w:r>
            <w:r w:rsidRPr="00D64C41">
              <w:rPr>
                <w:rFonts w:ascii="Arial" w:eastAsia="Times New Roman" w:hAnsi="Arial" w:cs="Arial"/>
                <w:sz w:val="20"/>
                <w:szCs w:val="20"/>
              </w:rPr>
              <w:t>/2012/TT-BVHTTDL</w:t>
            </w:r>
            <w:bookmarkEnd w:id="0"/>
          </w:p>
        </w:tc>
        <w:tc>
          <w:tcPr>
            <w:tcW w:w="3450" w:type="pct"/>
            <w:tcMar>
              <w:top w:w="0" w:type="dxa"/>
              <w:left w:w="108" w:type="dxa"/>
              <w:bottom w:w="0" w:type="dxa"/>
              <w:right w:w="108" w:type="dxa"/>
            </w:tcMar>
            <w:hideMark/>
          </w:tcPr>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CỘNG HÒA XÃ HỘI CHỦ NGHĨA VIỆT NAM</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Độc lập - Tự do - Hạnh phúc</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___________________________</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i/>
                <w:iCs/>
                <w:sz w:val="20"/>
                <w:szCs w:val="20"/>
              </w:rPr>
              <w:t>Hà Nội, ngày 16 tháng 7 năm 2012</w:t>
            </w:r>
          </w:p>
        </w:tc>
      </w:tr>
    </w:tbl>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sz w:val="20"/>
          <w:szCs w:val="20"/>
        </w:rPr>
        <w:t> </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THÔNG TƯ</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 xml:space="preserve">Hướng dẫn Nghị định số 32/2012/NĐ-CP ngày 12 tháng 4 năm 2012 </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 xml:space="preserve">của Chính phủ về quản lý xuất khẩu, nhập khẩu văn hóa phẩm </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không nhằm mục đích kinh doanh</w:t>
      </w:r>
    </w:p>
    <w:p w:rsidR="00D64C41" w:rsidRPr="00D64C41" w:rsidRDefault="00D64C41" w:rsidP="00D64C41">
      <w:pPr>
        <w:spacing w:before="69" w:after="69"/>
        <w:ind w:firstLine="0"/>
        <w:jc w:val="center"/>
        <w:rPr>
          <w:rFonts w:eastAsia="Times New Roman"/>
          <w:sz w:val="24"/>
          <w:szCs w:val="24"/>
        </w:rPr>
      </w:pPr>
      <w:r w:rsidRPr="00D64C41">
        <w:rPr>
          <w:rFonts w:eastAsia="Times New Roman"/>
          <w:sz w:val="24"/>
          <w:szCs w:val="24"/>
        </w:rPr>
        <w:t>____________________</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sz w:val="20"/>
          <w:szCs w:val="20"/>
        </w:rPr>
        <w:t> </w:t>
      </w:r>
      <w:r w:rsidRPr="00D64C41">
        <w:rPr>
          <w:rFonts w:ascii="Arial" w:eastAsia="Times New Roman" w:hAnsi="Arial" w:cs="Arial"/>
          <w:sz w:val="20"/>
          <w:szCs w:val="20"/>
        </w:rPr>
        <w:t> </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i/>
          <w:iCs/>
          <w:color w:val="000000"/>
          <w:sz w:val="20"/>
          <w:szCs w:val="20"/>
        </w:rPr>
        <w:t>Căn cứ Nghị định số 185/2007/NĐ-CP ngày 25 tháng 12 năm 2007 của Chính phủ quy định chức năng, nhiệm vụ, quyền hạn và cơ cấu tổ chức của Bộ Văn hóa, Thể thao và Du lịch;</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i/>
          <w:iCs/>
          <w:color w:val="000000"/>
          <w:sz w:val="20"/>
          <w:szCs w:val="20"/>
        </w:rPr>
        <w:t>Căn cứ Nghị định số 32/2012/NĐ-CP ngày 12 tháng 4 năm 2012 của Chính phủ về quản lý xuất khẩu, nhập khẩu văn hóa phẩm không nhằm mục đích kinh doanh;</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i/>
          <w:iCs/>
          <w:color w:val="000000"/>
          <w:sz w:val="20"/>
          <w:szCs w:val="20"/>
        </w:rPr>
        <w:t>Theo đề nghị của Chánh Văn phòng;</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i/>
          <w:iCs/>
          <w:color w:val="000000"/>
          <w:sz w:val="20"/>
          <w:szCs w:val="20"/>
        </w:rPr>
        <w:t>Bộ trưởng Bộ Văn hóa, Thể thao và Du lịch ban hành Thông tư hướng dẫn Nghị định số 32/2012/NĐ-CP ngày 12 tháng 4 năm 2012 của Chính phủ về quản lý xuất khẩu, nhập khẩu văn hóa phẩm không nhằm mục đích kinh doanh,</w:t>
      </w:r>
    </w:p>
    <w:p w:rsidR="00D64C41" w:rsidRPr="00D64C41" w:rsidRDefault="00D64C41" w:rsidP="00D64C41">
      <w:pPr>
        <w:spacing w:before="69" w:after="69"/>
        <w:ind w:firstLine="0"/>
        <w:rPr>
          <w:rFonts w:eastAsia="Times New Roman"/>
          <w:sz w:val="24"/>
          <w:szCs w:val="24"/>
        </w:rPr>
      </w:pPr>
      <w:r w:rsidRPr="00D64C41">
        <w:rPr>
          <w:rFonts w:ascii="Arial" w:eastAsia="Times New Roman" w:hAnsi="Arial" w:cs="Arial"/>
          <w:color w:val="000000"/>
          <w:sz w:val="20"/>
          <w:szCs w:val="20"/>
        </w:rPr>
        <w:t> </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color w:val="000000"/>
          <w:sz w:val="20"/>
          <w:szCs w:val="20"/>
        </w:rPr>
        <w:t>Mục 1</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color w:val="000000"/>
          <w:sz w:val="20"/>
          <w:szCs w:val="20"/>
        </w:rPr>
        <w:t>QUY ĐỊNH CHUNG</w:t>
      </w:r>
    </w:p>
    <w:p w:rsidR="00D64C41" w:rsidRDefault="00D64C41" w:rsidP="00D64C41">
      <w:pPr>
        <w:spacing w:before="69" w:after="69"/>
        <w:ind w:firstLine="0"/>
        <w:jc w:val="left"/>
        <w:rPr>
          <w:rFonts w:ascii="Arial" w:eastAsia="Times New Roman" w:hAnsi="Arial" w:cs="Arial"/>
          <w:b/>
          <w:bCs/>
          <w:color w:val="000000"/>
          <w:sz w:val="20"/>
          <w:szCs w:val="20"/>
        </w:rPr>
      </w:pP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1.</w:t>
      </w:r>
      <w:r w:rsidRPr="00D64C41">
        <w:rPr>
          <w:rFonts w:ascii="Arial" w:eastAsia="Times New Roman" w:hAnsi="Arial" w:cs="Arial"/>
          <w:color w:val="000000"/>
          <w:sz w:val="20"/>
          <w:szCs w:val="20"/>
        </w:rPr>
        <w:t xml:space="preserve"> </w:t>
      </w:r>
      <w:r w:rsidRPr="00D64C41">
        <w:rPr>
          <w:rFonts w:ascii="Arial" w:eastAsia="Times New Roman" w:hAnsi="Arial" w:cs="Arial"/>
          <w:b/>
          <w:bCs/>
          <w:color w:val="000000"/>
          <w:sz w:val="20"/>
          <w:szCs w:val="20"/>
        </w:rPr>
        <w:t>Phạm vi điều chỉnh</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Hoạt động xuất khẩu, nhập khẩu văn hoá phẩm không nhằm mục đích kinh doanh bao gồm: Hoạt động xuất khẩu, nhập khẩu văn hoá phẩm; hoạt động tạm xuất khẩu - tái nhập khẩu, tạm nhập khẩu - tái xuất khẩu văn hoá phẩm.</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color w:val="000000"/>
          <w:sz w:val="20"/>
          <w:szCs w:val="20"/>
        </w:rPr>
        <w:t>Mục 2</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color w:val="000000"/>
          <w:sz w:val="20"/>
          <w:szCs w:val="20"/>
        </w:rPr>
        <w:t>XUẤT KHẨU, NHẬP KHẨU VĂN HÓA PHẨM</w:t>
      </w:r>
    </w:p>
    <w:p w:rsidR="00D64C41" w:rsidRDefault="00D64C41" w:rsidP="00D64C41">
      <w:pPr>
        <w:spacing w:before="69" w:after="69"/>
        <w:ind w:firstLine="0"/>
        <w:jc w:val="left"/>
        <w:rPr>
          <w:rFonts w:ascii="Arial" w:eastAsia="Times New Roman" w:hAnsi="Arial" w:cs="Arial"/>
          <w:b/>
          <w:bCs/>
          <w:color w:val="000000"/>
          <w:sz w:val="20"/>
          <w:szCs w:val="20"/>
        </w:rPr>
      </w:pPr>
    </w:p>
    <w:p w:rsidR="00D64C41" w:rsidRPr="00B425C3" w:rsidRDefault="00D64C41" w:rsidP="00D64C41">
      <w:pPr>
        <w:spacing w:before="69" w:after="69"/>
        <w:ind w:firstLine="0"/>
        <w:jc w:val="left"/>
        <w:rPr>
          <w:rFonts w:eastAsia="Times New Roman"/>
          <w:color w:val="FF0000"/>
          <w:sz w:val="24"/>
          <w:szCs w:val="24"/>
        </w:rPr>
      </w:pPr>
      <w:r w:rsidRPr="00B425C3">
        <w:rPr>
          <w:rFonts w:ascii="Arial" w:eastAsia="Times New Roman" w:hAnsi="Arial" w:cs="Arial"/>
          <w:b/>
          <w:bCs/>
          <w:color w:val="FF0000"/>
          <w:sz w:val="20"/>
          <w:szCs w:val="20"/>
        </w:rPr>
        <w:t>Điều 2.</w:t>
      </w:r>
      <w:r w:rsidRPr="00B425C3">
        <w:rPr>
          <w:rFonts w:ascii="Arial" w:eastAsia="Times New Roman" w:hAnsi="Arial" w:cs="Arial"/>
          <w:color w:val="FF0000"/>
          <w:sz w:val="20"/>
          <w:szCs w:val="20"/>
        </w:rPr>
        <w:t xml:space="preserve"> </w:t>
      </w:r>
      <w:r w:rsidRPr="00B425C3">
        <w:rPr>
          <w:rFonts w:ascii="Arial" w:eastAsia="Times New Roman" w:hAnsi="Arial" w:cs="Arial"/>
          <w:b/>
          <w:bCs/>
          <w:color w:val="FF0000"/>
          <w:sz w:val="20"/>
          <w:szCs w:val="20"/>
        </w:rPr>
        <w:t>Văn hoá phẩm xuất khẩu</w:t>
      </w:r>
    </w:p>
    <w:p w:rsidR="00D64C41" w:rsidRPr="00B425C3" w:rsidRDefault="00D64C41" w:rsidP="00D64C41">
      <w:pPr>
        <w:spacing w:before="69" w:after="69"/>
        <w:ind w:firstLine="0"/>
        <w:jc w:val="left"/>
        <w:rPr>
          <w:rFonts w:eastAsia="Times New Roman"/>
          <w:color w:val="FF0000"/>
          <w:sz w:val="24"/>
          <w:szCs w:val="24"/>
        </w:rPr>
      </w:pPr>
      <w:r w:rsidRPr="00B425C3">
        <w:rPr>
          <w:rFonts w:ascii="Arial" w:eastAsia="Times New Roman" w:hAnsi="Arial" w:cs="Arial"/>
          <w:color w:val="FF0000"/>
          <w:sz w:val="20"/>
          <w:szCs w:val="20"/>
        </w:rPr>
        <w:t>Văn hoá phẩm xuất khẩu không cần giấy phép của cơ quan văn hóa, thể thao và du lịch theo quy định tại Khoản 1 Điều 7 Nghị định số 32/2012/NĐ-CP bao gồm những loại sau:</w:t>
      </w:r>
    </w:p>
    <w:p w:rsidR="00D64C41" w:rsidRPr="00B425C3" w:rsidRDefault="00D64C41" w:rsidP="00D64C41">
      <w:pPr>
        <w:spacing w:before="69" w:after="69"/>
        <w:ind w:firstLine="0"/>
        <w:jc w:val="left"/>
        <w:rPr>
          <w:rFonts w:eastAsia="Times New Roman"/>
          <w:color w:val="FF0000"/>
          <w:sz w:val="24"/>
          <w:szCs w:val="24"/>
        </w:rPr>
      </w:pPr>
      <w:r w:rsidRPr="00B425C3">
        <w:rPr>
          <w:rFonts w:ascii="Arial" w:eastAsia="Times New Roman" w:hAnsi="Arial" w:cs="Arial"/>
          <w:color w:val="FF0000"/>
          <w:sz w:val="20"/>
          <w:szCs w:val="20"/>
        </w:rPr>
        <w:t>1. Các loại băng ghi âm, đĩa ghi âm, băng ghi hình, đĩa ghi hình các loại phim, các loại băng từ, đĩa mềm, đĩa cứng, đĩa quang đã ghi nội dung, các sản phẩm công nghệ nghe nhìn khác đã ghi thông tin ở dạng chữ viết, âm thanh, hình ảnh đã phát hành, lưu hành hợp pháp tại Việt Nam.</w:t>
      </w:r>
    </w:p>
    <w:p w:rsidR="00D64C41" w:rsidRPr="00B425C3" w:rsidRDefault="00D64C41" w:rsidP="00D64C41">
      <w:pPr>
        <w:spacing w:before="69" w:after="69"/>
        <w:ind w:firstLine="0"/>
        <w:jc w:val="left"/>
        <w:rPr>
          <w:rFonts w:eastAsia="Times New Roman"/>
          <w:color w:val="FF0000"/>
          <w:sz w:val="24"/>
          <w:szCs w:val="24"/>
        </w:rPr>
      </w:pPr>
      <w:r w:rsidRPr="00B425C3">
        <w:rPr>
          <w:rFonts w:ascii="Arial" w:eastAsia="Times New Roman" w:hAnsi="Arial" w:cs="Arial"/>
          <w:color w:val="FF0000"/>
          <w:sz w:val="20"/>
          <w:szCs w:val="20"/>
        </w:rPr>
        <w:t>2. Các loại phim chụp ảnh, băng, đĩa ghi tiếng, ghi hình có nội dung về sinh hoạt cá nhân, gia đình.</w:t>
      </w:r>
    </w:p>
    <w:p w:rsidR="00D64C41" w:rsidRPr="00B425C3" w:rsidRDefault="00D64C41" w:rsidP="00D64C41">
      <w:pPr>
        <w:spacing w:before="69" w:after="69"/>
        <w:ind w:firstLine="0"/>
        <w:jc w:val="left"/>
        <w:rPr>
          <w:rFonts w:eastAsia="Times New Roman"/>
          <w:color w:val="FF0000"/>
          <w:sz w:val="24"/>
          <w:szCs w:val="24"/>
        </w:rPr>
      </w:pPr>
      <w:r w:rsidRPr="00B425C3">
        <w:rPr>
          <w:rFonts w:ascii="Arial" w:eastAsia="Times New Roman" w:hAnsi="Arial" w:cs="Arial"/>
          <w:color w:val="FF0000"/>
          <w:sz w:val="20"/>
          <w:szCs w:val="20"/>
        </w:rPr>
        <w:t>3. Các loại tranh, tượng, tác phẩm mỹ thuật không vi phạm quy định tại Điều 6 Nghị định số 32/2012/NĐ-CP là tài sản hợp pháp của cá nhân, tổ chức và không phải là di vật, cổ vật, bảo vật quốc gia.</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3. Thủ tục giám định văn hóa phẩm xuất khẩu</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 1. Cá nhân, tổ chức có văn hóa phẩm phải được giám định trước khi xuất khẩu theo quy định tại Khoản 2 Điều 7 Nghị định số 32/2012/NĐ-CP nộp trực tiếp 01 (một) bộ hồ sơ đề nghị giám định tại trụ sở cơ quan quản lý nhà nước về văn hóa, thể thao và du lịch có thẩm quyền được quy định tại Điều 4 Thông tư này. Hồ sơ đề nghị giám định gồm:</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 xml:space="preserve">a) Đơn đề nghị giám định văn hóa phẩm (mẫu đơn BM.GĐ ban hành kèm theo Thông tư này); </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b) Văn hóa phẩm đề nghị giám định;</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c) Bản gốc hoặc bản sao có công chứng quyết định cho phép hợp tác làm phim với nước ngoài của cơ quan có thẩm quyền; bản gốc hoặc bản sao có công chứng quyết định cho phép xuất khẩu di vật, cổ vật (bao gồm cả di vật, cổ vật tái xuất khẩu) của Bộ trưởng Bộ Văn hóa, Thể thao và Du lịch;</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d) Tài liệu có liên quan chứng minh nguồn gốc, xuất xứ hợp pháp của di vật, cổ vật.</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lastRenderedPageBreak/>
        <w:t>2. Thời gian giám định tối đa không quá 10 ngày làm việc kể từ ngày nhận đủ hồ sơ hợp lệ. Trong trường hợp đặc biệt, cơ quan giám định sẽ quyết định thời gian giám định. Biên bản giám định văn hóa phẩm là cơ sở để cơ quan hải quan giải quyết thủ tục xuất khẩu văn hóa phẩm.</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4. Thẩm quyền giám định văn hóa phẩm xuất khẩu</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 Cơ quan văn hóa, thể thao và du lịch có trách nhiệm giám định văn hóa phẩm xuất khẩu theo quy định tại Điều 7 Nghị định số 32/2012/NĐ-CP được quy định cụ thể như sau:</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1. Phòng Quản lý xuất nhập văn hóa phẩm thuộc Văn phòng Bộ Văn hóa, Thể thao và Du lịch làm thủ tục giám định văn hóa phẩm đối với cá nhân, tổ chức ở Trung ương.</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2. Sở Văn hóa, Thể thao và Du lịch hoặc cơ quan văn hóa, thể thao và du lịch do Sở Văn hóa, Thể thao và Du lịch uỷ quyền làm thủ tục giám định văn hóa phẩm đối với cá nhân, tổ chức tại địa phương.</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5. Văn hóa phẩm nhập khẩu</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Phim điện ảnh, phim truyền hình được quy định tại Điểm b Khoản 1 Điều 8 Nghị định số 32/2012/NĐ-CP bao gồm các loại: Phim để chiếu, phát sóng, làm mẫu giới thiệu, trình Hội đồng duyệt, phổ biến, phát hành theo quy định của pháp luật trên các hệ thống rạp, hệ thống truyền hình trong toàn quốc hoặc trên địa bàn từ hai địa phương trở lên.</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6.</w:t>
      </w:r>
      <w:r w:rsidRPr="00D64C41">
        <w:rPr>
          <w:rFonts w:ascii="Arial" w:eastAsia="Times New Roman" w:hAnsi="Arial" w:cs="Arial"/>
          <w:color w:val="000000"/>
          <w:sz w:val="20"/>
          <w:szCs w:val="20"/>
        </w:rPr>
        <w:t xml:space="preserve"> </w:t>
      </w:r>
      <w:r w:rsidRPr="00D64C41">
        <w:rPr>
          <w:rFonts w:ascii="Arial" w:eastAsia="Times New Roman" w:hAnsi="Arial" w:cs="Arial"/>
          <w:b/>
          <w:bCs/>
          <w:color w:val="000000"/>
          <w:sz w:val="20"/>
          <w:szCs w:val="20"/>
        </w:rPr>
        <w:t>Hồ sơ nhập khẩu văn hóa  phẩm</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 xml:space="preserve">Giấy tờ quy định tại Điểm b Khoản 2 Điều 9 Nghị định số 32/2012/NĐ-CP được áp dụng như sau: </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 xml:space="preserve">1. Cá nhân, tổ chức nhập khẩu phim để phổ biến theo quy định của pháp luật phải cung cấp giấy chứng nhận bản quyền tác giả; hợp đồng; bản dịch tóm tắt nội dung phim. </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2. Cá nhân, tổ chức nhập khẩu di vật, cổ vật phải cung cấp giấy chứng nhận hoặc cam kết sở hữu hợp pháp đối với di vật, cổ vật.</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3. Cá nhân, tổ chức làm dịch vụ giao nhận vận chuyển văn hóa phẩm nhập khẩu cho khách hàng phải cung cấp giấy ủy quyền.</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7.</w:t>
      </w:r>
      <w:r w:rsidRPr="00D64C41">
        <w:rPr>
          <w:rFonts w:ascii="Arial" w:eastAsia="Times New Roman" w:hAnsi="Arial" w:cs="Arial"/>
          <w:color w:val="000000"/>
          <w:sz w:val="20"/>
          <w:szCs w:val="20"/>
        </w:rPr>
        <w:t xml:space="preserve"> </w:t>
      </w:r>
      <w:r w:rsidRPr="00D64C41">
        <w:rPr>
          <w:rFonts w:ascii="Arial" w:eastAsia="Times New Roman" w:hAnsi="Arial" w:cs="Arial"/>
          <w:b/>
          <w:bCs/>
          <w:color w:val="000000"/>
          <w:sz w:val="20"/>
          <w:szCs w:val="20"/>
        </w:rPr>
        <w:t>Văn hóa phẩm của cá nhân, tổ chức được hưởng quyền ưu đãi miễn trừ ngoại giao</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Cá nhân, tổ chức Việt Nam nhận văn hóa phẩm nhập khẩu của cá nhân, tổ chức được hưởng quyền ưu đãi miễn trừ ngoại giao quy định tại Điều 12 Nghị định số 32/2012/NĐ-CP trực tiếp làm thủ tục đề nghị cấp giấy phép nhập khẩu văn hóa phẩm tại cơ quan văn hóa, thể thao và du lịch có thẩm quyền theo quy định tại Điều 8 Thông tư này.</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8.</w:t>
      </w:r>
      <w:r w:rsidRPr="00D64C41">
        <w:rPr>
          <w:rFonts w:ascii="Arial" w:eastAsia="Times New Roman" w:hAnsi="Arial" w:cs="Arial"/>
          <w:color w:val="000000"/>
          <w:sz w:val="20"/>
          <w:szCs w:val="20"/>
        </w:rPr>
        <w:t xml:space="preserve"> </w:t>
      </w:r>
      <w:r w:rsidRPr="00D64C41">
        <w:rPr>
          <w:rFonts w:ascii="Arial" w:eastAsia="Times New Roman" w:hAnsi="Arial" w:cs="Arial"/>
          <w:b/>
          <w:bCs/>
          <w:color w:val="000000"/>
          <w:sz w:val="20"/>
          <w:szCs w:val="20"/>
        </w:rPr>
        <w:t>Thẩm quyền của cơ quan cấp phép nhập khẩu văn hóa phẩm</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Cơ quan văn hóa, thể thao và du lịch có thẩm quyền cấp giấy phép nhập khẩu văn hoá phẩm theo quy định tại Điều 8 Nghị định số 32/2012/NĐ-CP được quy định cụ thể như sau:</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1. Phòng Quản lý xuất nhập khẩu văn hoá phẩm thuộc Văn phòng Bộ Văn hóa, Thể thao và Du lịch làm thủ tục đối với các trường hợp thuộc thẩm quyền cấp giấy phép của Bộ Văn hóa, Thể thao và Du lịch.</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 xml:space="preserve">2. Sở Văn hóa, Thể thao và Du lịch hoặc cơ quan văn hóa, thể thao và du lịch do Sở Văn hóa, Thể thao và Du lịch uỷ quyền làm thủ tục đối với các trường hợp thuộc thẩm quyền cấp giấy phép của Sở Văn hóa, Thể thao và Du lịch. </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9.</w:t>
      </w:r>
      <w:r w:rsidRPr="00D64C41">
        <w:rPr>
          <w:rFonts w:ascii="Arial" w:eastAsia="Times New Roman" w:hAnsi="Arial" w:cs="Arial"/>
          <w:color w:val="000000"/>
          <w:sz w:val="20"/>
          <w:szCs w:val="20"/>
        </w:rPr>
        <w:t xml:space="preserve"> </w:t>
      </w:r>
      <w:r w:rsidRPr="00D64C41">
        <w:rPr>
          <w:rFonts w:ascii="Arial" w:eastAsia="Times New Roman" w:hAnsi="Arial" w:cs="Arial"/>
          <w:b/>
          <w:bCs/>
          <w:color w:val="000000"/>
          <w:sz w:val="20"/>
          <w:szCs w:val="20"/>
        </w:rPr>
        <w:t>Ban hành kèm theo Thông tư này các mẫu</w:t>
      </w:r>
    </w:p>
    <w:p w:rsidR="00D64C41" w:rsidRDefault="00D64C41" w:rsidP="00D64C41">
      <w:pPr>
        <w:spacing w:before="69" w:after="69"/>
        <w:ind w:firstLine="0"/>
        <w:jc w:val="left"/>
        <w:rPr>
          <w:rFonts w:ascii="Arial" w:eastAsia="Times New Roman" w:hAnsi="Arial" w:cs="Arial"/>
          <w:color w:val="000000"/>
          <w:sz w:val="20"/>
          <w:szCs w:val="20"/>
        </w:rPr>
      </w:pPr>
      <w:r w:rsidRPr="00D64C41">
        <w:rPr>
          <w:rFonts w:ascii="Arial" w:eastAsia="Times New Roman" w:hAnsi="Arial" w:cs="Arial"/>
          <w:color w:val="000000"/>
          <w:sz w:val="20"/>
          <w:szCs w:val="20"/>
        </w:rPr>
        <w:t xml:space="preserve">Giấy phép nhập khẩu văn hoá phẩm (BM.GP); Biên bản giám định và niêm phong văn hóa phẩm xuất khẩu (BM.BBGĐ); Đơn đề nghị cấp phép nhập khẩu văn hóa phẩm (BM.NK); Đơn đề nghị giám định văn hóa phẩm xuất khẩu (BM.GĐ); Niêm phong văn hóa (BM.NP) của Bộ Văn hóa, Thể thao và Du lịch và Sở Văn hóa, Thể thao và Du lịch. </w:t>
      </w:r>
    </w:p>
    <w:p w:rsidR="00D64C41" w:rsidRPr="00D64C41" w:rsidRDefault="00D64C41" w:rsidP="00D64C41">
      <w:pPr>
        <w:spacing w:before="69" w:after="69"/>
        <w:ind w:firstLine="0"/>
        <w:jc w:val="left"/>
        <w:rPr>
          <w:rFonts w:eastAsia="Times New Roman"/>
          <w:sz w:val="24"/>
          <w:szCs w:val="24"/>
        </w:rPr>
      </w:pP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color w:val="000000"/>
          <w:sz w:val="20"/>
          <w:szCs w:val="20"/>
        </w:rPr>
        <w:t>Mục 3</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color w:val="000000"/>
          <w:sz w:val="20"/>
          <w:szCs w:val="20"/>
        </w:rPr>
        <w:t>ĐIỀU KHOẢN THI HÀNH</w:t>
      </w:r>
    </w:p>
    <w:p w:rsidR="00D64C41" w:rsidRDefault="00D64C41" w:rsidP="00D64C41">
      <w:pPr>
        <w:spacing w:before="69" w:after="69"/>
        <w:ind w:firstLine="0"/>
        <w:jc w:val="left"/>
        <w:rPr>
          <w:rFonts w:ascii="Arial" w:eastAsia="Times New Roman" w:hAnsi="Arial" w:cs="Arial"/>
          <w:b/>
          <w:bCs/>
          <w:color w:val="000000"/>
          <w:sz w:val="20"/>
          <w:szCs w:val="20"/>
        </w:rPr>
      </w:pP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10.</w:t>
      </w:r>
      <w:r w:rsidRPr="00D64C41">
        <w:rPr>
          <w:rFonts w:ascii="Arial" w:eastAsia="Times New Roman" w:hAnsi="Arial" w:cs="Arial"/>
          <w:color w:val="000000"/>
          <w:sz w:val="20"/>
          <w:szCs w:val="20"/>
        </w:rPr>
        <w:t xml:space="preserve"> </w:t>
      </w:r>
      <w:r w:rsidRPr="00D64C41">
        <w:rPr>
          <w:rFonts w:ascii="Arial" w:eastAsia="Times New Roman" w:hAnsi="Arial" w:cs="Arial"/>
          <w:b/>
          <w:bCs/>
          <w:color w:val="000000"/>
          <w:sz w:val="20"/>
          <w:szCs w:val="20"/>
        </w:rPr>
        <w:t>Hiệu lực thi hành</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color w:val="000000"/>
          <w:sz w:val="20"/>
          <w:szCs w:val="20"/>
        </w:rPr>
        <w:t xml:space="preserve">Thông tư này có hiệu lực thi hành từ ngày 01 tháng 9 năm 2012. </w:t>
      </w:r>
    </w:p>
    <w:p w:rsidR="00D64C41" w:rsidRPr="00D64C41" w:rsidRDefault="00D64C41" w:rsidP="00D64C41">
      <w:pPr>
        <w:spacing w:before="69" w:after="69"/>
        <w:ind w:firstLine="0"/>
        <w:jc w:val="left"/>
        <w:rPr>
          <w:rFonts w:eastAsia="Times New Roman"/>
          <w:sz w:val="24"/>
          <w:szCs w:val="24"/>
        </w:rPr>
      </w:pPr>
      <w:r w:rsidRPr="00D64C41">
        <w:rPr>
          <w:rFonts w:ascii="Arial" w:eastAsia="Times New Roman" w:hAnsi="Arial" w:cs="Arial"/>
          <w:b/>
          <w:bCs/>
          <w:color w:val="000000"/>
          <w:sz w:val="20"/>
          <w:szCs w:val="20"/>
        </w:rPr>
        <w:t>Điều 11.</w:t>
      </w:r>
      <w:r w:rsidRPr="00D64C41">
        <w:rPr>
          <w:rFonts w:ascii="Arial" w:eastAsia="Times New Roman" w:hAnsi="Arial" w:cs="Arial"/>
          <w:color w:val="000000"/>
          <w:sz w:val="20"/>
          <w:szCs w:val="20"/>
        </w:rPr>
        <w:t xml:space="preserve"> </w:t>
      </w:r>
      <w:r w:rsidRPr="00D64C41">
        <w:rPr>
          <w:rFonts w:ascii="Arial" w:eastAsia="Times New Roman" w:hAnsi="Arial" w:cs="Arial"/>
          <w:b/>
          <w:bCs/>
          <w:color w:val="000000"/>
          <w:sz w:val="20"/>
          <w:szCs w:val="20"/>
        </w:rPr>
        <w:t>Trách nhiệm thi hành</w:t>
      </w:r>
    </w:p>
    <w:p w:rsidR="00D64C41" w:rsidRDefault="00D64C41" w:rsidP="00D64C41">
      <w:pPr>
        <w:spacing w:before="69" w:after="69"/>
        <w:ind w:firstLine="0"/>
        <w:jc w:val="left"/>
        <w:rPr>
          <w:rFonts w:ascii="Arial" w:eastAsia="Times New Roman" w:hAnsi="Arial" w:cs="Arial"/>
          <w:color w:val="000000"/>
          <w:sz w:val="20"/>
          <w:szCs w:val="20"/>
        </w:rPr>
      </w:pPr>
      <w:r w:rsidRPr="00D64C41">
        <w:rPr>
          <w:rFonts w:ascii="Arial" w:eastAsia="Times New Roman" w:hAnsi="Arial" w:cs="Arial"/>
          <w:color w:val="000000"/>
          <w:sz w:val="20"/>
          <w:szCs w:val="20"/>
        </w:rPr>
        <w:t>Chánh Văn phòng, Chánh Thanh tra Bộ Văn hóa, Thể thao và Du lịch, Giám đốc Sở Văn hóa, Thể thao và Du lịch các tỉnh, thành phố trực thuộc Trung ương và các cá nhân, tổ chức có liên quan chịu trách nhiệm thi hành Thông tư này./.</w:t>
      </w:r>
    </w:p>
    <w:p w:rsidR="00D64C41" w:rsidRPr="00D64C41" w:rsidRDefault="00D64C41" w:rsidP="00D64C41">
      <w:pPr>
        <w:spacing w:before="69" w:after="69"/>
        <w:ind w:firstLine="0"/>
        <w:jc w:val="left"/>
        <w:rPr>
          <w:rFonts w:eastAsia="Times New Roman"/>
          <w:sz w:val="24"/>
          <w:szCs w:val="24"/>
        </w:rPr>
      </w:pPr>
    </w:p>
    <w:tbl>
      <w:tblPr>
        <w:tblW w:w="5000" w:type="pct"/>
        <w:tblCellMar>
          <w:left w:w="0" w:type="dxa"/>
          <w:right w:w="0" w:type="dxa"/>
        </w:tblCellMar>
        <w:tblLook w:val="04A0" w:firstRow="1" w:lastRow="0" w:firstColumn="1" w:lastColumn="0" w:noHBand="0" w:noVBand="1"/>
      </w:tblPr>
      <w:tblGrid>
        <w:gridCol w:w="5554"/>
        <w:gridCol w:w="3703"/>
      </w:tblGrid>
      <w:tr w:rsidR="00D64C41" w:rsidRPr="00D64C41" w:rsidTr="00D64C41">
        <w:tc>
          <w:tcPr>
            <w:tcW w:w="3000" w:type="pct"/>
            <w:tcMar>
              <w:top w:w="0" w:type="dxa"/>
              <w:left w:w="108" w:type="dxa"/>
              <w:bottom w:w="0" w:type="dxa"/>
              <w:right w:w="108" w:type="dxa"/>
            </w:tcMar>
            <w:hideMark/>
          </w:tcPr>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b/>
                <w:bCs/>
                <w:i/>
                <w:iCs/>
                <w:sz w:val="18"/>
                <w:szCs w:val="18"/>
              </w:rPr>
              <w:lastRenderedPageBreak/>
              <w:t>Nơi nhận:</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sz w:val="18"/>
                <w:szCs w:val="18"/>
              </w:rPr>
              <w:t>- Văn phòng Chính phủ;</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color w:val="000000"/>
                <w:sz w:val="18"/>
                <w:szCs w:val="18"/>
              </w:rPr>
              <w:t>- Các Bộ, CQ ngang Bộ, CQ thuộc Chính phủ;</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sz w:val="18"/>
                <w:szCs w:val="18"/>
              </w:rPr>
              <w:t>- Lãnh đạo Bộ VHTTDL;</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color w:val="000000"/>
                <w:sz w:val="18"/>
                <w:szCs w:val="18"/>
              </w:rPr>
              <w:t>- Các Tổng cục, Cục, Vụ thuộc Bộ;</w:t>
            </w:r>
            <w:r w:rsidRPr="00D64C41">
              <w:rPr>
                <w:rFonts w:ascii="Arial" w:eastAsia="Times New Roman" w:hAnsi="Arial" w:cs="Arial"/>
                <w:color w:val="000000"/>
                <w:sz w:val="18"/>
                <w:szCs w:val="18"/>
              </w:rPr>
              <w:br/>
              <w:t>- UBND cấp tỉnh/thành;</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color w:val="000000"/>
                <w:sz w:val="18"/>
                <w:szCs w:val="18"/>
              </w:rPr>
              <w:t>- Sở VHTTDL;</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color w:val="000000"/>
                <w:sz w:val="18"/>
                <w:szCs w:val="18"/>
              </w:rPr>
              <w:t>- Cục Kiểm tra VBQPPL Bộ Tư pháp;</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color w:val="000000"/>
                <w:sz w:val="18"/>
                <w:szCs w:val="18"/>
              </w:rPr>
              <w:t xml:space="preserve">- Công báo; </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color w:val="000000"/>
                <w:sz w:val="18"/>
                <w:szCs w:val="18"/>
              </w:rPr>
              <w:t xml:space="preserve">- Website Chính phủ; </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color w:val="000000"/>
                <w:sz w:val="18"/>
                <w:szCs w:val="18"/>
              </w:rPr>
              <w:t>- Website Bộ VHTTDL;</w:t>
            </w:r>
          </w:p>
          <w:p w:rsidR="00D64C41" w:rsidRPr="00D64C41" w:rsidRDefault="00D64C41" w:rsidP="00D64C41">
            <w:pPr>
              <w:spacing w:before="23" w:after="23"/>
              <w:ind w:firstLine="0"/>
              <w:jc w:val="left"/>
              <w:rPr>
                <w:rFonts w:eastAsia="Times New Roman"/>
                <w:sz w:val="24"/>
                <w:szCs w:val="24"/>
              </w:rPr>
            </w:pPr>
            <w:r w:rsidRPr="00D64C41">
              <w:rPr>
                <w:rFonts w:ascii="Arial" w:eastAsia="Times New Roman" w:hAnsi="Arial" w:cs="Arial"/>
                <w:sz w:val="18"/>
                <w:szCs w:val="18"/>
              </w:rPr>
              <w:t>- Lưu: VT, VHP (05), NTN (200).</w:t>
            </w:r>
          </w:p>
        </w:tc>
        <w:tc>
          <w:tcPr>
            <w:tcW w:w="2000" w:type="pct"/>
            <w:tcMar>
              <w:top w:w="0" w:type="dxa"/>
              <w:left w:w="108" w:type="dxa"/>
              <w:bottom w:w="0" w:type="dxa"/>
              <w:right w:w="108" w:type="dxa"/>
            </w:tcMar>
            <w:hideMark/>
          </w:tcPr>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BỘ TRƯỞNG</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i/>
                <w:iCs/>
                <w:sz w:val="20"/>
                <w:szCs w:val="20"/>
              </w:rPr>
              <w:t>(đã ký)</w:t>
            </w:r>
          </w:p>
          <w:p w:rsidR="00D64C41" w:rsidRPr="00D64C41" w:rsidRDefault="00D64C41" w:rsidP="00D64C41">
            <w:pPr>
              <w:spacing w:before="69" w:after="69"/>
              <w:ind w:firstLine="0"/>
              <w:jc w:val="center"/>
              <w:rPr>
                <w:rFonts w:eastAsia="Times New Roman"/>
                <w:sz w:val="24"/>
                <w:szCs w:val="24"/>
              </w:rPr>
            </w:pPr>
            <w:r w:rsidRPr="00D64C41">
              <w:rPr>
                <w:rFonts w:ascii="Arial" w:eastAsia="Times New Roman" w:hAnsi="Arial" w:cs="Arial"/>
                <w:b/>
                <w:bCs/>
                <w:sz w:val="20"/>
                <w:szCs w:val="20"/>
              </w:rPr>
              <w:t>Hoàng Tuấn Anh</w:t>
            </w:r>
          </w:p>
        </w:tc>
      </w:tr>
    </w:tbl>
    <w:p w:rsidR="0080367D" w:rsidRDefault="0080367D"/>
    <w:sectPr w:rsidR="0080367D" w:rsidSect="00A642CD">
      <w:pgSz w:w="11907" w:h="16840" w:code="9"/>
      <w:pgMar w:top="1008" w:right="113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64C41"/>
    <w:rsid w:val="000B1E08"/>
    <w:rsid w:val="000F3596"/>
    <w:rsid w:val="001269A4"/>
    <w:rsid w:val="00202F30"/>
    <w:rsid w:val="0080367D"/>
    <w:rsid w:val="008B55AA"/>
    <w:rsid w:val="00A642CD"/>
    <w:rsid w:val="00B425C3"/>
    <w:rsid w:val="00B93281"/>
    <w:rsid w:val="00BF27E6"/>
    <w:rsid w:val="00BF4A68"/>
    <w:rsid w:val="00D6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C41"/>
    <w:pPr>
      <w:spacing w:before="100" w:beforeAutospacing="1" w:after="100" w:afterAutospacing="1"/>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803">
      <w:bodyDiv w:val="1"/>
      <w:marLeft w:val="0"/>
      <w:marRight w:val="0"/>
      <w:marTop w:val="0"/>
      <w:marBottom w:val="0"/>
      <w:divBdr>
        <w:top w:val="none" w:sz="0" w:space="0" w:color="auto"/>
        <w:left w:val="none" w:sz="0" w:space="0" w:color="auto"/>
        <w:bottom w:val="none" w:sz="0" w:space="0" w:color="auto"/>
        <w:right w:val="none" w:sz="0" w:space="0" w:color="auto"/>
      </w:divBdr>
    </w:div>
    <w:div w:id="11986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2015-11-04T01:48:00Z</dcterms:created>
  <dcterms:modified xsi:type="dcterms:W3CDTF">2017-06-09T16:44:00Z</dcterms:modified>
</cp:coreProperties>
</file>