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3B29FA" w:rsidTr="00E56F33">
        <w:tc>
          <w:tcPr>
            <w:tcW w:w="3348" w:type="dxa"/>
            <w:tcMar>
              <w:top w:w="0" w:type="dxa"/>
              <w:left w:w="108" w:type="dxa"/>
              <w:bottom w:w="0" w:type="dxa"/>
              <w:right w:w="108" w:type="dxa"/>
            </w:tcMar>
            <w:hideMark/>
          </w:tcPr>
          <w:p w:rsidR="003B29FA" w:rsidRDefault="003B29FA" w:rsidP="00E56F33">
            <w:pPr>
              <w:pStyle w:val="NormalWeb"/>
              <w:spacing w:before="120" w:beforeAutospacing="0"/>
              <w:jc w:val="center"/>
            </w:pPr>
            <w:r>
              <w:rPr>
                <w:b/>
                <w:bCs/>
                <w:lang w:val="vi-VN"/>
              </w:rPr>
              <w:t xml:space="preserve">BỘ Y </w:t>
            </w:r>
            <w:r>
              <w:rPr>
                <w:b/>
                <w:bCs/>
              </w:rPr>
              <w:t>TẾ</w:t>
            </w:r>
            <w:r>
              <w:rPr>
                <w:b/>
                <w:bCs/>
                <w:lang w:val="vi-VN"/>
              </w:rPr>
              <w:br/>
              <w:t>-------</w:t>
            </w:r>
          </w:p>
        </w:tc>
        <w:tc>
          <w:tcPr>
            <w:tcW w:w="5508" w:type="dxa"/>
            <w:tcMar>
              <w:top w:w="0" w:type="dxa"/>
              <w:left w:w="108" w:type="dxa"/>
              <w:bottom w:w="0" w:type="dxa"/>
              <w:right w:w="108" w:type="dxa"/>
            </w:tcMar>
            <w:hideMark/>
          </w:tcPr>
          <w:p w:rsidR="003B29FA" w:rsidRDefault="003B29FA" w:rsidP="00E56F33">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B29FA" w:rsidTr="00E56F33">
        <w:tc>
          <w:tcPr>
            <w:tcW w:w="3348" w:type="dxa"/>
            <w:tcMar>
              <w:top w:w="0" w:type="dxa"/>
              <w:left w:w="108" w:type="dxa"/>
              <w:bottom w:w="0" w:type="dxa"/>
              <w:right w:w="108" w:type="dxa"/>
            </w:tcMar>
            <w:hideMark/>
          </w:tcPr>
          <w:p w:rsidR="003B29FA" w:rsidRDefault="003B29FA" w:rsidP="00E56F33">
            <w:pPr>
              <w:pStyle w:val="NormalWeb"/>
              <w:spacing w:before="120" w:beforeAutospacing="0"/>
              <w:jc w:val="center"/>
            </w:pPr>
            <w:r>
              <w:rPr>
                <w:lang w:val="vi-VN"/>
              </w:rPr>
              <w:t>S</w:t>
            </w:r>
            <w:r>
              <w:t xml:space="preserve">ố: </w:t>
            </w:r>
            <w:r>
              <w:rPr>
                <w:lang w:val="vi-VN"/>
              </w:rPr>
              <w:t>42/2016/TT-BYT</w:t>
            </w:r>
          </w:p>
        </w:tc>
        <w:tc>
          <w:tcPr>
            <w:tcW w:w="5508" w:type="dxa"/>
            <w:tcMar>
              <w:top w:w="0" w:type="dxa"/>
              <w:left w:w="108" w:type="dxa"/>
              <w:bottom w:w="0" w:type="dxa"/>
              <w:right w:w="108" w:type="dxa"/>
            </w:tcMar>
            <w:hideMark/>
          </w:tcPr>
          <w:p w:rsidR="003B29FA" w:rsidRDefault="003B29FA" w:rsidP="00E56F33">
            <w:pPr>
              <w:pStyle w:val="NormalWeb"/>
              <w:spacing w:before="120" w:beforeAutospacing="0"/>
              <w:jc w:val="right"/>
            </w:pPr>
            <w:r>
              <w:rPr>
                <w:i/>
                <w:iCs/>
                <w:lang w:val="vi-VN"/>
              </w:rPr>
              <w:t>Hà Nội, ngày</w:t>
            </w:r>
            <w:r>
              <w:rPr>
                <w:i/>
                <w:iCs/>
              </w:rPr>
              <w:t xml:space="preserve"> 15</w:t>
            </w:r>
            <w:r>
              <w:rPr>
                <w:i/>
                <w:iCs/>
                <w:lang w:val="vi-VN"/>
              </w:rPr>
              <w:t xml:space="preserve"> tháng </w:t>
            </w:r>
            <w:r>
              <w:rPr>
                <w:i/>
                <w:iCs/>
              </w:rPr>
              <w:t xml:space="preserve">11 </w:t>
            </w:r>
            <w:r>
              <w:rPr>
                <w:i/>
                <w:iCs/>
                <w:lang w:val="vi-VN"/>
              </w:rPr>
              <w:t>năm 2016</w:t>
            </w:r>
          </w:p>
        </w:tc>
      </w:tr>
    </w:tbl>
    <w:p w:rsidR="003B29FA" w:rsidRDefault="003B29FA" w:rsidP="003B29FA">
      <w:pPr>
        <w:pStyle w:val="NormalWeb"/>
        <w:spacing w:before="120" w:beforeAutospacing="0"/>
      </w:pPr>
      <w:r>
        <w:t> </w:t>
      </w:r>
    </w:p>
    <w:p w:rsidR="003B29FA" w:rsidRDefault="003B29FA" w:rsidP="003B29FA">
      <w:pPr>
        <w:pStyle w:val="NormalWeb"/>
        <w:spacing w:before="120" w:beforeAutospacing="0"/>
        <w:jc w:val="center"/>
      </w:pPr>
      <w:r>
        <w:rPr>
          <w:b/>
          <w:bCs/>
          <w:lang w:val="vi-VN"/>
        </w:rPr>
        <w:t>THÔNG TƯ</w:t>
      </w:r>
    </w:p>
    <w:p w:rsidR="003B29FA" w:rsidRDefault="003B29FA" w:rsidP="003B29FA">
      <w:pPr>
        <w:pStyle w:val="NormalWeb"/>
        <w:spacing w:before="120" w:beforeAutospacing="0"/>
        <w:jc w:val="center"/>
      </w:pPr>
      <w:r>
        <w:rPr>
          <w:lang w:val="vi-VN"/>
        </w:rPr>
        <w:t>QUY ĐỊNH VIỆC THỪA NHẬN KẾT QUẢ PHÂN LOẠI TRANG THIẾT BỊ Y TẾ</w:t>
      </w:r>
    </w:p>
    <w:p w:rsidR="003B29FA" w:rsidRDefault="003B29FA" w:rsidP="003B29FA">
      <w:pPr>
        <w:pStyle w:val="NormalWeb"/>
        <w:spacing w:before="120" w:beforeAutospacing="0"/>
        <w:jc w:val="center"/>
      </w:pPr>
      <w:r>
        <w:rPr>
          <w:b/>
          <w:bCs/>
          <w:lang w:val="vi-VN"/>
        </w:rPr>
        <w:t>BỘ TRƯỞNG BỘ Y TẾ</w:t>
      </w:r>
    </w:p>
    <w:p w:rsidR="003B29FA" w:rsidRDefault="003B29FA" w:rsidP="003B29FA">
      <w:pPr>
        <w:pStyle w:val="NormalWeb"/>
        <w:spacing w:before="120" w:beforeAutospacing="0"/>
      </w:pPr>
      <w:r>
        <w:rPr>
          <w:i/>
          <w:iCs/>
          <w:lang w:val="vi-VN"/>
        </w:rPr>
        <w:t>Căn cứ Nghị định s</w:t>
      </w:r>
      <w:r>
        <w:rPr>
          <w:i/>
          <w:iCs/>
        </w:rPr>
        <w:t>ố</w:t>
      </w:r>
      <w:r>
        <w:rPr>
          <w:i/>
          <w:iCs/>
          <w:lang w:val="vi-VN"/>
        </w:rPr>
        <w:t xml:space="preserve"> 63/2012/NĐ-CP ngày 31 tháng 8 năm 2012 của Ch</w:t>
      </w:r>
      <w:r>
        <w:rPr>
          <w:i/>
          <w:iCs/>
        </w:rPr>
        <w:t xml:space="preserve">ính </w:t>
      </w:r>
      <w:r>
        <w:rPr>
          <w:i/>
          <w:iCs/>
          <w:lang w:val="vi-VN"/>
        </w:rPr>
        <w:t>phủ quy định chức năng, nhiệm vụ, quyền hạn và cơ cấu tổ chức của Bộ Y tế;</w:t>
      </w:r>
    </w:p>
    <w:p w:rsidR="003B29FA" w:rsidRDefault="003B29FA" w:rsidP="003B29FA">
      <w:pPr>
        <w:pStyle w:val="NormalWeb"/>
        <w:spacing w:before="120" w:beforeAutospacing="0"/>
      </w:pPr>
      <w:r>
        <w:rPr>
          <w:i/>
          <w:iCs/>
          <w:lang w:val="vi-VN"/>
        </w:rPr>
        <w:t>Căn cứ Nghị định số 36/2016/NĐ-CP ngày 15 tháng 5 năm 2016 của Ch</w:t>
      </w:r>
      <w:r>
        <w:rPr>
          <w:i/>
          <w:iCs/>
        </w:rPr>
        <w:t xml:space="preserve">ính </w:t>
      </w:r>
      <w:r>
        <w:rPr>
          <w:i/>
          <w:iCs/>
          <w:lang w:val="vi-VN"/>
        </w:rPr>
        <w:t>phủ về quản l</w:t>
      </w:r>
      <w:r>
        <w:rPr>
          <w:i/>
          <w:iCs/>
        </w:rPr>
        <w:t xml:space="preserve">ý </w:t>
      </w:r>
      <w:r>
        <w:rPr>
          <w:i/>
          <w:iCs/>
          <w:lang w:val="vi-VN"/>
        </w:rPr>
        <w:t>trang thiết bị y tế;</w:t>
      </w:r>
    </w:p>
    <w:p w:rsidR="003B29FA" w:rsidRDefault="003B29FA" w:rsidP="003B29FA">
      <w:pPr>
        <w:pStyle w:val="NormalWeb"/>
        <w:spacing w:before="120" w:beforeAutospacing="0"/>
      </w:pPr>
      <w:r>
        <w:rPr>
          <w:i/>
          <w:iCs/>
          <w:lang w:val="vi-VN"/>
        </w:rPr>
        <w:t xml:space="preserve">Theo đề nghị của Vụ trưởng Vụ Trang thiết bị và Công trình y tế, Bộ </w:t>
      </w:r>
      <w:r>
        <w:rPr>
          <w:i/>
          <w:iCs/>
        </w:rPr>
        <w:t>Y</w:t>
      </w:r>
      <w:r>
        <w:rPr>
          <w:i/>
          <w:iCs/>
          <w:lang w:val="vi-VN"/>
        </w:rPr>
        <w:t xml:space="preserve"> t</w:t>
      </w:r>
      <w:r>
        <w:rPr>
          <w:i/>
          <w:iCs/>
        </w:rPr>
        <w:t>ế,</w:t>
      </w:r>
    </w:p>
    <w:p w:rsidR="003B29FA" w:rsidRDefault="003B29FA" w:rsidP="003B29FA">
      <w:pPr>
        <w:pStyle w:val="NormalWeb"/>
        <w:spacing w:before="120" w:beforeAutospacing="0"/>
      </w:pPr>
      <w:r>
        <w:rPr>
          <w:i/>
          <w:iCs/>
          <w:lang w:val="vi-VN"/>
        </w:rPr>
        <w:t>Bộ trưởng Bộ Y tế ban hành Thông tư quy định việc thừa nhận kết quả phân loại trang thiết bị y tế,</w:t>
      </w:r>
    </w:p>
    <w:p w:rsidR="003B29FA" w:rsidRDefault="003B29FA" w:rsidP="003B29FA">
      <w:pPr>
        <w:pStyle w:val="NormalWeb"/>
        <w:spacing w:before="120" w:beforeAutospacing="0"/>
      </w:pPr>
      <w:r>
        <w:rPr>
          <w:b/>
          <w:bCs/>
          <w:lang w:val="vi-VN"/>
        </w:rPr>
        <w:t>Điều 1. Danh sách các nước mà Việt Nam thừa nhận k</w:t>
      </w:r>
      <w:r>
        <w:rPr>
          <w:b/>
          <w:bCs/>
        </w:rPr>
        <w:t>ế</w:t>
      </w:r>
      <w:r>
        <w:rPr>
          <w:b/>
          <w:bCs/>
          <w:lang w:val="vi-VN"/>
        </w:rPr>
        <w:t>t quả phân loại trang thiết bị y tế</w:t>
      </w:r>
    </w:p>
    <w:p w:rsidR="003B29FA" w:rsidRDefault="003B29FA" w:rsidP="003B29FA">
      <w:pPr>
        <w:pStyle w:val="NormalWeb"/>
        <w:spacing w:before="120" w:beforeAutospacing="0"/>
      </w:pPr>
      <w:r>
        <w:rPr>
          <w:lang w:val="vi-VN"/>
        </w:rPr>
        <w:t xml:space="preserve">Danh sách các nước mà Việt Nam thừa nhận kết quả phân loại trang </w:t>
      </w:r>
      <w:r>
        <w:t>thi</w:t>
      </w:r>
      <w:r>
        <w:rPr>
          <w:lang w:val="vi-VN"/>
        </w:rPr>
        <w:t>ết bị y tế thực hiện theo quy định tại Phụ lục ban hành kèm theo Thông tư này.</w:t>
      </w:r>
    </w:p>
    <w:p w:rsidR="003B29FA" w:rsidRDefault="003B29FA" w:rsidP="003B29FA">
      <w:pPr>
        <w:pStyle w:val="NormalWeb"/>
        <w:spacing w:before="120" w:beforeAutospacing="0"/>
      </w:pPr>
      <w:r>
        <w:rPr>
          <w:b/>
          <w:bCs/>
          <w:lang w:val="vi-VN"/>
        </w:rPr>
        <w:t>Điều 2. Hướng dẫn quy đổi kết quả thừa nhận</w:t>
      </w:r>
    </w:p>
    <w:p w:rsidR="003B29FA" w:rsidRDefault="003B29FA" w:rsidP="003B29FA">
      <w:pPr>
        <w:pStyle w:val="NormalWeb"/>
        <w:spacing w:before="120" w:beforeAutospacing="0"/>
      </w:pPr>
      <w:r>
        <w:rPr>
          <w:lang w:val="vi-VN"/>
        </w:rPr>
        <w:t>1. Hướng dẫn quy đổi kết quả phân loại đối với trang thiết bị y tế kh</w:t>
      </w:r>
      <w:r>
        <w:t xml:space="preserve">ông </w:t>
      </w:r>
      <w:r>
        <w:rPr>
          <w:lang w:val="vi-VN"/>
        </w:rPr>
        <w:t>phải trang thiết bị y tế ch</w:t>
      </w:r>
      <w:r>
        <w:t>ẩ</w:t>
      </w:r>
      <w:r>
        <w:rPr>
          <w:lang w:val="vi-VN"/>
        </w:rPr>
        <w:t>n đoán in vitro:</w:t>
      </w:r>
    </w:p>
    <w:tbl>
      <w:tblPr>
        <w:tblW w:w="0" w:type="dxa"/>
        <w:tblCellMar>
          <w:left w:w="0" w:type="dxa"/>
          <w:right w:w="0" w:type="dxa"/>
        </w:tblCellMar>
        <w:tblLook w:val="04A0" w:firstRow="1" w:lastRow="0" w:firstColumn="1" w:lastColumn="0" w:noHBand="0" w:noVBand="1"/>
      </w:tblPr>
      <w:tblGrid>
        <w:gridCol w:w="2089"/>
        <w:gridCol w:w="1509"/>
        <w:gridCol w:w="840"/>
        <w:gridCol w:w="1234"/>
        <w:gridCol w:w="919"/>
        <w:gridCol w:w="910"/>
        <w:gridCol w:w="737"/>
        <w:gridCol w:w="1142"/>
      </w:tblGrid>
      <w:tr w:rsidR="003B29FA" w:rsidTr="00E56F33">
        <w:tc>
          <w:tcPr>
            <w:tcW w:w="4391" w:type="pct"/>
            <w:gridSpan w:val="7"/>
            <w:tcBorders>
              <w:top w:val="single" w:sz="8" w:space="0" w:color="auto"/>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b/>
                <w:bCs/>
                <w:lang w:val="vi-VN"/>
              </w:rPr>
              <w:t>Phân loại trang thiết bị y tế của các nước</w:t>
            </w:r>
          </w:p>
        </w:tc>
        <w:tc>
          <w:tcPr>
            <w:tcW w:w="609" w:type="pct"/>
            <w:vMerge w:val="restart"/>
            <w:tcBorders>
              <w:top w:val="single" w:sz="8" w:space="0" w:color="auto"/>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b/>
                <w:bCs/>
              </w:rPr>
              <w:t>Quy đổi kết quả phân loại tại Việt Nam</w:t>
            </w:r>
          </w:p>
        </w:tc>
      </w:tr>
      <w:tr w:rsidR="003B29FA" w:rsidTr="00E56F33">
        <w:tc>
          <w:tcPr>
            <w:tcW w:w="1113"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Các nước thuộc hiệp hội các quốc gia Đông Nam Á</w:t>
            </w:r>
          </w:p>
        </w:tc>
        <w:tc>
          <w:tcPr>
            <w:tcW w:w="804"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Các nước khu vực Châu Âu</w:t>
            </w:r>
          </w:p>
        </w:tc>
        <w:tc>
          <w:tcPr>
            <w:tcW w:w="4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Ú</w:t>
            </w:r>
            <w:r>
              <w:rPr>
                <w:lang w:val="vi-VN"/>
              </w:rPr>
              <w:t>c</w:t>
            </w:r>
          </w:p>
        </w:tc>
        <w:tc>
          <w:tcPr>
            <w:tcW w:w="65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Canada</w:t>
            </w:r>
          </w:p>
        </w:tc>
        <w:tc>
          <w:tcPr>
            <w:tcW w:w="490"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Hàn Quốc</w:t>
            </w:r>
          </w:p>
        </w:tc>
        <w:tc>
          <w:tcPr>
            <w:tcW w:w="485"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Nhật Bản</w:t>
            </w:r>
          </w:p>
        </w:tc>
        <w:tc>
          <w:tcPr>
            <w:tcW w:w="393"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M</w:t>
            </w:r>
            <w:r>
              <w:t>ỹ</w:t>
            </w:r>
          </w:p>
        </w:tc>
        <w:tc>
          <w:tcPr>
            <w:tcW w:w="0" w:type="auto"/>
            <w:vMerge/>
            <w:tcBorders>
              <w:top w:val="single" w:sz="8" w:space="0" w:color="auto"/>
              <w:left w:val="nil"/>
              <w:bottom w:val="single" w:sz="8" w:space="0" w:color="auto"/>
              <w:right w:val="single" w:sz="8" w:space="0" w:color="auto"/>
            </w:tcBorders>
            <w:vAlign w:val="center"/>
            <w:hideMark/>
          </w:tcPr>
          <w:p w:rsidR="003B29FA" w:rsidRDefault="003B29FA" w:rsidP="00E56F33"/>
        </w:tc>
      </w:tr>
      <w:tr w:rsidR="003B29FA" w:rsidTr="00E56F33">
        <w:tc>
          <w:tcPr>
            <w:tcW w:w="1113"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A</w:t>
            </w:r>
          </w:p>
        </w:tc>
        <w:tc>
          <w:tcPr>
            <w:tcW w:w="804"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4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65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490"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1</w:t>
            </w:r>
          </w:p>
        </w:tc>
        <w:tc>
          <w:tcPr>
            <w:tcW w:w="485"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393"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60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A</w:t>
            </w:r>
          </w:p>
        </w:tc>
      </w:tr>
      <w:tr w:rsidR="003B29FA" w:rsidTr="00E56F33">
        <w:tc>
          <w:tcPr>
            <w:tcW w:w="1113"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B</w:t>
            </w:r>
          </w:p>
        </w:tc>
        <w:tc>
          <w:tcPr>
            <w:tcW w:w="804"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II</w:t>
            </w:r>
            <w:r>
              <w:rPr>
                <w:lang w:val="vi-VN"/>
              </w:rPr>
              <w:t>a</w:t>
            </w:r>
          </w:p>
        </w:tc>
        <w:tc>
          <w:tcPr>
            <w:tcW w:w="4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II</w:t>
            </w:r>
            <w:r>
              <w:rPr>
                <w:lang w:val="vi-VN"/>
              </w:rPr>
              <w:t>a</w:t>
            </w:r>
          </w:p>
        </w:tc>
        <w:tc>
          <w:tcPr>
            <w:tcW w:w="65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w:t>
            </w:r>
          </w:p>
        </w:tc>
        <w:tc>
          <w:tcPr>
            <w:tcW w:w="490"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2</w:t>
            </w:r>
          </w:p>
        </w:tc>
        <w:tc>
          <w:tcPr>
            <w:tcW w:w="485"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w:t>
            </w:r>
          </w:p>
        </w:tc>
        <w:tc>
          <w:tcPr>
            <w:tcW w:w="393" w:type="pct"/>
            <w:vMerge w:val="restar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 </w:t>
            </w:r>
          </w:p>
        </w:tc>
        <w:tc>
          <w:tcPr>
            <w:tcW w:w="60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B</w:t>
            </w:r>
          </w:p>
        </w:tc>
      </w:tr>
      <w:tr w:rsidR="003B29FA" w:rsidTr="00E56F33">
        <w:tc>
          <w:tcPr>
            <w:tcW w:w="1113"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t>C</w:t>
            </w:r>
          </w:p>
        </w:tc>
        <w:tc>
          <w:tcPr>
            <w:tcW w:w="804"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Ilb</w:t>
            </w:r>
          </w:p>
        </w:tc>
        <w:tc>
          <w:tcPr>
            <w:tcW w:w="4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Ilb</w:t>
            </w:r>
          </w:p>
        </w:tc>
        <w:tc>
          <w:tcPr>
            <w:tcW w:w="65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490"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3</w:t>
            </w:r>
          </w:p>
        </w:tc>
        <w:tc>
          <w:tcPr>
            <w:tcW w:w="485"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0" w:type="auto"/>
            <w:vMerge/>
            <w:tcBorders>
              <w:top w:val="nil"/>
              <w:left w:val="nil"/>
              <w:bottom w:val="single" w:sz="8" w:space="0" w:color="auto"/>
              <w:right w:val="single" w:sz="8" w:space="0" w:color="auto"/>
            </w:tcBorders>
            <w:vAlign w:val="center"/>
            <w:hideMark/>
          </w:tcPr>
          <w:p w:rsidR="003B29FA" w:rsidRDefault="003B29FA" w:rsidP="00E56F33"/>
        </w:tc>
        <w:tc>
          <w:tcPr>
            <w:tcW w:w="60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C</w:t>
            </w:r>
          </w:p>
        </w:tc>
      </w:tr>
      <w:tr w:rsidR="003B29FA" w:rsidTr="00E56F33">
        <w:tc>
          <w:tcPr>
            <w:tcW w:w="1113"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D</w:t>
            </w:r>
          </w:p>
        </w:tc>
        <w:tc>
          <w:tcPr>
            <w:tcW w:w="804"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4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III</w:t>
            </w:r>
          </w:p>
        </w:tc>
        <w:tc>
          <w:tcPr>
            <w:tcW w:w="65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IV</w:t>
            </w:r>
          </w:p>
        </w:tc>
        <w:tc>
          <w:tcPr>
            <w:tcW w:w="490"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4</w:t>
            </w:r>
          </w:p>
        </w:tc>
        <w:tc>
          <w:tcPr>
            <w:tcW w:w="485"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IV</w:t>
            </w:r>
          </w:p>
        </w:tc>
        <w:tc>
          <w:tcPr>
            <w:tcW w:w="393"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60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D</w:t>
            </w:r>
          </w:p>
        </w:tc>
      </w:tr>
    </w:tbl>
    <w:p w:rsidR="003B29FA" w:rsidRDefault="003B29FA" w:rsidP="003B29FA">
      <w:pPr>
        <w:pStyle w:val="NormalWeb"/>
        <w:spacing w:before="120" w:beforeAutospacing="0"/>
      </w:pPr>
      <w:r>
        <w:rPr>
          <w:lang w:val="vi-VN"/>
        </w:rPr>
        <w:lastRenderedPageBreak/>
        <w:t>Ví dụ: Kết quả phân loại đ</w:t>
      </w:r>
      <w:r>
        <w:t>ố</w:t>
      </w:r>
      <w:r>
        <w:rPr>
          <w:lang w:val="vi-VN"/>
        </w:rPr>
        <w:t>i với trang thi</w:t>
      </w:r>
      <w:r>
        <w:t>ế</w:t>
      </w:r>
      <w:r>
        <w:rPr>
          <w:lang w:val="vi-VN"/>
        </w:rPr>
        <w:t>t bị y t</w:t>
      </w:r>
      <w:r>
        <w:t xml:space="preserve">ế </w:t>
      </w:r>
      <w:r>
        <w:rPr>
          <w:lang w:val="vi-VN"/>
        </w:rPr>
        <w:t xml:space="preserve">tại các nước </w:t>
      </w:r>
      <w:r>
        <w:t xml:space="preserve">thuộc loại I sẽ </w:t>
      </w:r>
      <w:r>
        <w:rPr>
          <w:lang w:val="vi-VN"/>
        </w:rPr>
        <w:t>được thừa nhận kết quả phân loại tại Việt Nam là trang thiết bị y tế thuộc loại A</w:t>
      </w:r>
    </w:p>
    <w:p w:rsidR="003B29FA" w:rsidRDefault="003B29FA" w:rsidP="003B29FA">
      <w:pPr>
        <w:pStyle w:val="NormalWeb"/>
        <w:spacing w:before="120" w:beforeAutospacing="0"/>
      </w:pPr>
      <w:r>
        <w:rPr>
          <w:lang w:val="vi-VN"/>
        </w:rPr>
        <w:t>2. Hướng dẫn quy đổi kết quả phân loại đối với trang thiết bị y tế chẩn đoán in vitro:</w:t>
      </w:r>
    </w:p>
    <w:tbl>
      <w:tblPr>
        <w:tblW w:w="0" w:type="dxa"/>
        <w:tblCellMar>
          <w:left w:w="0" w:type="dxa"/>
          <w:right w:w="0" w:type="dxa"/>
        </w:tblCellMar>
        <w:tblLook w:val="04A0" w:firstRow="1" w:lastRow="0" w:firstColumn="1" w:lastColumn="0" w:noHBand="0" w:noVBand="1"/>
      </w:tblPr>
      <w:tblGrid>
        <w:gridCol w:w="2757"/>
        <w:gridCol w:w="874"/>
        <w:gridCol w:w="1218"/>
        <w:gridCol w:w="914"/>
        <w:gridCol w:w="1028"/>
        <w:gridCol w:w="1161"/>
        <w:gridCol w:w="1428"/>
      </w:tblGrid>
      <w:tr w:rsidR="003B29FA" w:rsidTr="00E56F33">
        <w:tc>
          <w:tcPr>
            <w:tcW w:w="4239" w:type="pct"/>
            <w:gridSpan w:val="6"/>
            <w:tcBorders>
              <w:top w:val="single" w:sz="8" w:space="0" w:color="auto"/>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b/>
                <w:bCs/>
                <w:lang w:val="vi-VN"/>
              </w:rPr>
              <w:t>Phân loại trang thiết bị y tế của các nước</w:t>
            </w:r>
          </w:p>
        </w:tc>
        <w:tc>
          <w:tcPr>
            <w:tcW w:w="761" w:type="pct"/>
            <w:vMerge w:val="restart"/>
            <w:tcBorders>
              <w:top w:val="single" w:sz="8" w:space="0" w:color="auto"/>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b/>
                <w:bCs/>
                <w:lang w:val="vi-VN"/>
              </w:rPr>
              <w:t>Quy đ</w:t>
            </w:r>
            <w:r>
              <w:rPr>
                <w:b/>
                <w:bCs/>
              </w:rPr>
              <w:t>ổ</w:t>
            </w:r>
            <w:r>
              <w:rPr>
                <w:b/>
                <w:bCs/>
                <w:lang w:val="vi-VN"/>
              </w:rPr>
              <w:t>i k</w:t>
            </w:r>
            <w:r>
              <w:rPr>
                <w:b/>
                <w:bCs/>
              </w:rPr>
              <w:t xml:space="preserve">ết </w:t>
            </w:r>
            <w:r>
              <w:rPr>
                <w:b/>
                <w:bCs/>
                <w:lang w:val="vi-VN"/>
              </w:rPr>
              <w:t>quả phân loại tại Vi</w:t>
            </w:r>
            <w:r>
              <w:rPr>
                <w:b/>
                <w:bCs/>
              </w:rPr>
              <w:t>ệ</w:t>
            </w:r>
            <w:r>
              <w:rPr>
                <w:b/>
                <w:bCs/>
                <w:lang w:val="vi-VN"/>
              </w:rPr>
              <w:t>t Na</w:t>
            </w:r>
            <w:r>
              <w:rPr>
                <w:b/>
                <w:bCs/>
              </w:rPr>
              <w:t>m</w:t>
            </w:r>
          </w:p>
        </w:tc>
      </w:tr>
      <w:tr w:rsidR="003B29FA" w:rsidTr="00E56F33">
        <w:tc>
          <w:tcPr>
            <w:tcW w:w="1470"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Các nước thuộc hiệp hội các quốc gia Đông Nam Á</w:t>
            </w:r>
          </w:p>
        </w:tc>
        <w:tc>
          <w:tcPr>
            <w:tcW w:w="466"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Ú</w:t>
            </w:r>
            <w:r>
              <w:rPr>
                <w:lang w:val="vi-VN"/>
              </w:rPr>
              <w:t>c</w:t>
            </w:r>
          </w:p>
        </w:tc>
        <w:tc>
          <w:tcPr>
            <w:tcW w:w="64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Canada</w:t>
            </w:r>
          </w:p>
        </w:tc>
        <w:tc>
          <w:tcPr>
            <w:tcW w:w="487"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Hàn Quốc</w:t>
            </w:r>
          </w:p>
        </w:tc>
        <w:tc>
          <w:tcPr>
            <w:tcW w:w="5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Nhật Bản</w:t>
            </w:r>
          </w:p>
        </w:tc>
        <w:tc>
          <w:tcPr>
            <w:tcW w:w="61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Mỹ</w:t>
            </w:r>
          </w:p>
        </w:tc>
        <w:tc>
          <w:tcPr>
            <w:tcW w:w="0" w:type="auto"/>
            <w:vMerge/>
            <w:tcBorders>
              <w:top w:val="single" w:sz="8" w:space="0" w:color="auto"/>
              <w:left w:val="nil"/>
              <w:bottom w:val="single" w:sz="8" w:space="0" w:color="auto"/>
              <w:right w:val="single" w:sz="8" w:space="0" w:color="auto"/>
            </w:tcBorders>
            <w:vAlign w:val="center"/>
            <w:hideMark/>
          </w:tcPr>
          <w:p w:rsidR="003B29FA" w:rsidRDefault="003B29FA" w:rsidP="00E56F33"/>
        </w:tc>
      </w:tr>
      <w:tr w:rsidR="003B29FA" w:rsidTr="00E56F33">
        <w:tc>
          <w:tcPr>
            <w:tcW w:w="1470"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A</w:t>
            </w:r>
          </w:p>
        </w:tc>
        <w:tc>
          <w:tcPr>
            <w:tcW w:w="466"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1</w:t>
            </w:r>
          </w:p>
        </w:tc>
        <w:tc>
          <w:tcPr>
            <w:tcW w:w="64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487"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1</w:t>
            </w:r>
          </w:p>
        </w:tc>
        <w:tc>
          <w:tcPr>
            <w:tcW w:w="5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61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w:t>
            </w:r>
          </w:p>
        </w:tc>
        <w:tc>
          <w:tcPr>
            <w:tcW w:w="761"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A</w:t>
            </w:r>
          </w:p>
        </w:tc>
      </w:tr>
      <w:tr w:rsidR="003B29FA" w:rsidTr="00E56F33">
        <w:tc>
          <w:tcPr>
            <w:tcW w:w="1470"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B</w:t>
            </w:r>
          </w:p>
        </w:tc>
        <w:tc>
          <w:tcPr>
            <w:tcW w:w="466"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2</w:t>
            </w:r>
          </w:p>
        </w:tc>
        <w:tc>
          <w:tcPr>
            <w:tcW w:w="64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w:t>
            </w:r>
          </w:p>
        </w:tc>
        <w:tc>
          <w:tcPr>
            <w:tcW w:w="487"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2</w:t>
            </w:r>
          </w:p>
        </w:tc>
        <w:tc>
          <w:tcPr>
            <w:tcW w:w="5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w:t>
            </w:r>
          </w:p>
        </w:tc>
        <w:tc>
          <w:tcPr>
            <w:tcW w:w="619" w:type="pct"/>
            <w:vMerge w:val="restar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 </w:t>
            </w:r>
          </w:p>
        </w:tc>
        <w:tc>
          <w:tcPr>
            <w:tcW w:w="761"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B</w:t>
            </w:r>
          </w:p>
        </w:tc>
      </w:tr>
      <w:tr w:rsidR="003B29FA" w:rsidTr="00E56F33">
        <w:tc>
          <w:tcPr>
            <w:tcW w:w="1470"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t>C</w:t>
            </w:r>
          </w:p>
        </w:tc>
        <w:tc>
          <w:tcPr>
            <w:tcW w:w="466"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3</w:t>
            </w:r>
          </w:p>
        </w:tc>
        <w:tc>
          <w:tcPr>
            <w:tcW w:w="64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487"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3</w:t>
            </w:r>
          </w:p>
        </w:tc>
        <w:tc>
          <w:tcPr>
            <w:tcW w:w="5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III</w:t>
            </w:r>
          </w:p>
        </w:tc>
        <w:tc>
          <w:tcPr>
            <w:tcW w:w="0" w:type="auto"/>
            <w:vMerge/>
            <w:tcBorders>
              <w:top w:val="nil"/>
              <w:left w:val="nil"/>
              <w:bottom w:val="single" w:sz="8" w:space="0" w:color="auto"/>
              <w:right w:val="single" w:sz="8" w:space="0" w:color="auto"/>
            </w:tcBorders>
            <w:vAlign w:val="center"/>
            <w:hideMark/>
          </w:tcPr>
          <w:p w:rsidR="003B29FA" w:rsidRDefault="003B29FA" w:rsidP="00E56F33"/>
        </w:tc>
        <w:tc>
          <w:tcPr>
            <w:tcW w:w="761"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C</w:t>
            </w:r>
          </w:p>
        </w:tc>
      </w:tr>
      <w:tr w:rsidR="003B29FA" w:rsidTr="00E56F33">
        <w:tc>
          <w:tcPr>
            <w:tcW w:w="1470" w:type="pct"/>
            <w:tcBorders>
              <w:top w:val="nil"/>
              <w:left w:val="single" w:sz="8" w:space="0" w:color="auto"/>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D</w:t>
            </w:r>
          </w:p>
        </w:tc>
        <w:tc>
          <w:tcPr>
            <w:tcW w:w="466"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4</w:t>
            </w:r>
          </w:p>
        </w:tc>
        <w:tc>
          <w:tcPr>
            <w:tcW w:w="64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IV</w:t>
            </w:r>
          </w:p>
        </w:tc>
        <w:tc>
          <w:tcPr>
            <w:tcW w:w="487"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4</w:t>
            </w:r>
          </w:p>
        </w:tc>
        <w:tc>
          <w:tcPr>
            <w:tcW w:w="548"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IV</w:t>
            </w:r>
          </w:p>
        </w:tc>
        <w:tc>
          <w:tcPr>
            <w:tcW w:w="619"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t>III</w:t>
            </w:r>
          </w:p>
        </w:tc>
        <w:tc>
          <w:tcPr>
            <w:tcW w:w="761" w:type="pct"/>
            <w:tcBorders>
              <w:top w:val="nil"/>
              <w:left w:val="nil"/>
              <w:bottom w:val="single" w:sz="8" w:space="0" w:color="auto"/>
              <w:right w:val="single" w:sz="8" w:space="0" w:color="auto"/>
            </w:tcBorders>
            <w:vAlign w:val="center"/>
            <w:hideMark/>
          </w:tcPr>
          <w:p w:rsidR="003B29FA" w:rsidRDefault="003B29FA" w:rsidP="00E56F33">
            <w:pPr>
              <w:pStyle w:val="NormalWeb"/>
              <w:spacing w:before="120" w:beforeAutospacing="0"/>
              <w:jc w:val="center"/>
            </w:pPr>
            <w:r>
              <w:rPr>
                <w:lang w:val="vi-VN"/>
              </w:rPr>
              <w:t>D</w:t>
            </w:r>
          </w:p>
        </w:tc>
      </w:tr>
    </w:tbl>
    <w:p w:rsidR="003B29FA" w:rsidRDefault="003B29FA" w:rsidP="003B29FA">
      <w:pPr>
        <w:pStyle w:val="NormalWeb"/>
        <w:spacing w:before="120" w:beforeAutospacing="0"/>
      </w:pPr>
      <w:r>
        <w:rPr>
          <w:b/>
          <w:bCs/>
          <w:lang w:val="vi-VN"/>
        </w:rPr>
        <w:t>Điều 3. Hướng dẫn việc sử dụng các giấy tờ chứng minh kết quả phân lo</w:t>
      </w:r>
      <w:r>
        <w:rPr>
          <w:b/>
          <w:bCs/>
        </w:rPr>
        <w:t>ại</w:t>
      </w:r>
    </w:p>
    <w:p w:rsidR="003B29FA" w:rsidRDefault="003B29FA" w:rsidP="003B29FA">
      <w:pPr>
        <w:pStyle w:val="NormalWeb"/>
        <w:spacing w:before="120" w:beforeAutospacing="0"/>
      </w:pPr>
      <w:r>
        <w:rPr>
          <w:lang w:val="vi-VN"/>
        </w:rPr>
        <w:t>1. Trường hợp trang thiết bị y tế đã được phân loại ở một trong các n</w:t>
      </w:r>
      <w:r>
        <w:t xml:space="preserve">ước </w:t>
      </w:r>
      <w:r>
        <w:rPr>
          <w:lang w:val="vi-VN"/>
        </w:rPr>
        <w:t xml:space="preserve">quy định tại Điều 1 Thông tư này và kết quả phân loại được thể hiện trên </w:t>
      </w:r>
      <w:r>
        <w:t xml:space="preserve">một </w:t>
      </w:r>
      <w:r>
        <w:rPr>
          <w:lang w:val="vi-VN"/>
        </w:rPr>
        <w:t>trong các giấy tờ sau thì không phải nộp bản phân loại trang thiết bị y tế khi n</w:t>
      </w:r>
      <w:r>
        <w:t xml:space="preserve">ộp </w:t>
      </w:r>
      <w:r>
        <w:rPr>
          <w:lang w:val="vi-VN"/>
        </w:rPr>
        <w:t>hồ sơ công bố tiêu chuẩn áp dụng hoặc hồ sơ đăng ký lưu hành:</w:t>
      </w:r>
    </w:p>
    <w:p w:rsidR="003B29FA" w:rsidRDefault="003B29FA" w:rsidP="003B29FA">
      <w:pPr>
        <w:pStyle w:val="NormalWeb"/>
        <w:spacing w:before="120" w:beforeAutospacing="0"/>
      </w:pPr>
      <w:r>
        <w:rPr>
          <w:lang w:val="vi-VN"/>
        </w:rPr>
        <w:t>a) Giấy chứng nhận lưu hành tự do;</w:t>
      </w:r>
    </w:p>
    <w:p w:rsidR="003B29FA" w:rsidRDefault="003B29FA" w:rsidP="003B29FA">
      <w:pPr>
        <w:pStyle w:val="NormalWeb"/>
        <w:spacing w:before="120" w:beforeAutospacing="0"/>
      </w:pPr>
      <w:r>
        <w:rPr>
          <w:lang w:val="vi-VN"/>
        </w:rPr>
        <w:t>b) Giấy đăng ký l</w:t>
      </w:r>
      <w:r>
        <w:t>ưu</w:t>
      </w:r>
      <w:r>
        <w:rPr>
          <w:lang w:val="vi-VN"/>
        </w:rPr>
        <w:t xml:space="preserve"> hành;</w:t>
      </w:r>
    </w:p>
    <w:p w:rsidR="003B29FA" w:rsidRDefault="003B29FA" w:rsidP="003B29FA">
      <w:pPr>
        <w:pStyle w:val="NormalWeb"/>
        <w:spacing w:before="120" w:beforeAutospacing="0"/>
      </w:pPr>
      <w:r>
        <w:rPr>
          <w:lang w:val="vi-VN"/>
        </w:rPr>
        <w:t>c) Giấy phép xuất khẩu;</w:t>
      </w:r>
    </w:p>
    <w:p w:rsidR="003B29FA" w:rsidRDefault="003B29FA" w:rsidP="003B29FA">
      <w:pPr>
        <w:pStyle w:val="NormalWeb"/>
        <w:spacing w:before="120" w:beforeAutospacing="0"/>
      </w:pPr>
      <w:r>
        <w:rPr>
          <w:lang w:val="vi-VN"/>
        </w:rPr>
        <w:t>d) Các giấy tờ khác do cơ quan quản lý nhà nước có thẩm quyền của n</w:t>
      </w:r>
      <w:r>
        <w:t xml:space="preserve">ước </w:t>
      </w:r>
      <w:r>
        <w:rPr>
          <w:lang w:val="vi-VN"/>
        </w:rPr>
        <w:t xml:space="preserve">ngoài cấp, bao gồm kết quả phân loại được công bố trên trang thông tin điện </w:t>
      </w:r>
      <w:r>
        <w:t xml:space="preserve">tử </w:t>
      </w:r>
      <w:r>
        <w:rPr>
          <w:lang w:val="vi-VN"/>
        </w:rPr>
        <w:t>của cơ quan có thẩm quyền của nước ngoài.</w:t>
      </w:r>
    </w:p>
    <w:p w:rsidR="003B29FA" w:rsidRDefault="003B29FA" w:rsidP="003B29FA">
      <w:pPr>
        <w:pStyle w:val="NormalWeb"/>
        <w:spacing w:before="120" w:beforeAutospacing="0"/>
      </w:pPr>
      <w:r>
        <w:rPr>
          <w:lang w:val="vi-VN"/>
        </w:rPr>
        <w:t xml:space="preserve">2. Yêu cầu đối với giấy tờ chứng minh kết quả phân loại quy định </w:t>
      </w:r>
      <w:r>
        <w:t xml:space="preserve">tại </w:t>
      </w:r>
      <w:r>
        <w:rPr>
          <w:lang w:val="vi-VN"/>
        </w:rPr>
        <w:t>Khoản 1 Điều này:</w:t>
      </w:r>
    </w:p>
    <w:p w:rsidR="003B29FA" w:rsidRDefault="003B29FA" w:rsidP="003B29FA">
      <w:pPr>
        <w:pStyle w:val="NormalWeb"/>
        <w:spacing w:before="120" w:beforeAutospacing="0"/>
      </w:pPr>
      <w:r>
        <w:rPr>
          <w:lang w:val="vi-VN"/>
        </w:rPr>
        <w:t xml:space="preserve">Nộp bản đã được hợp pháp lãnh sự hoặc bản sao có chứng thực của bản </w:t>
      </w:r>
      <w:r>
        <w:t xml:space="preserve">đã </w:t>
      </w:r>
      <w:r>
        <w:rPr>
          <w:lang w:val="vi-VN"/>
        </w:rPr>
        <w:t>được hợp pháp hóa lãnh sự.</w:t>
      </w:r>
    </w:p>
    <w:p w:rsidR="003B29FA" w:rsidRDefault="003B29FA" w:rsidP="003B29FA">
      <w:pPr>
        <w:pStyle w:val="NormalWeb"/>
        <w:spacing w:before="120" w:beforeAutospacing="0"/>
      </w:pPr>
      <w:r>
        <w:rPr>
          <w:lang w:val="vi-VN"/>
        </w:rPr>
        <w:t>Trường hợp giấy tờ chứng minh không phải bằng tiếng Anh thì phải</w:t>
      </w:r>
      <w:r>
        <w:t xml:space="preserve"> kèm </w:t>
      </w:r>
      <w:r>
        <w:rPr>
          <w:lang w:val="vi-VN"/>
        </w:rPr>
        <w:t>theo bản dịch ra tiếng Việt. Bản dịch phải được ch</w:t>
      </w:r>
      <w:r>
        <w:t>ứ</w:t>
      </w:r>
      <w:r>
        <w:rPr>
          <w:lang w:val="vi-VN"/>
        </w:rPr>
        <w:t xml:space="preserve">ng thực theo quy định </w:t>
      </w:r>
      <w:r>
        <w:t xml:space="preserve">của </w:t>
      </w:r>
      <w:r>
        <w:rPr>
          <w:lang w:val="vi-VN"/>
        </w:rPr>
        <w:t>pháp luật.</w:t>
      </w:r>
    </w:p>
    <w:p w:rsidR="003B29FA" w:rsidRDefault="003B29FA" w:rsidP="003B29FA">
      <w:pPr>
        <w:pStyle w:val="NormalWeb"/>
        <w:spacing w:before="120" w:beforeAutospacing="0"/>
      </w:pPr>
      <w:r>
        <w:rPr>
          <w:lang w:val="vi-VN"/>
        </w:rPr>
        <w:t>Trường hợp kết quả phân loại được công bố trên trang thông tin điện tử c</w:t>
      </w:r>
      <w:r>
        <w:t xml:space="preserve">ủa </w:t>
      </w:r>
      <w:r>
        <w:rPr>
          <w:lang w:val="vi-VN"/>
        </w:rPr>
        <w:t>cơ quan có thẩm quyền của nước ngoài thì khi nộp hồ sơ công b</w:t>
      </w:r>
      <w:r>
        <w:t>ố</w:t>
      </w:r>
      <w:r>
        <w:rPr>
          <w:lang w:val="vi-VN"/>
        </w:rPr>
        <w:t xml:space="preserve"> tiêu chu</w:t>
      </w:r>
      <w:r>
        <w:t>ẩ</w:t>
      </w:r>
      <w:r>
        <w:rPr>
          <w:lang w:val="vi-VN"/>
        </w:rPr>
        <w:t xml:space="preserve">n </w:t>
      </w:r>
      <w:r>
        <w:t xml:space="preserve">áp </w:t>
      </w:r>
      <w:r>
        <w:rPr>
          <w:lang w:val="vi-VN"/>
        </w:rPr>
        <w:t>dụng hoặc hồ sơ đề nghị cấp số lưu hành, tổ chức đứng tên công bố tiêu chuẩn</w:t>
      </w:r>
      <w:r>
        <w:t xml:space="preserve"> áp </w:t>
      </w:r>
      <w:r>
        <w:rPr>
          <w:lang w:val="vi-VN"/>
        </w:rPr>
        <w:t xml:space="preserve">dụng hoặc đề nghị cấp số lưu hành phải nộp bản in về kết quả phân loại từ trang thông tin điện tử có đóng dấu của xác nhận của đơn vị chịu trách nhiệm về </w:t>
      </w:r>
      <w:r>
        <w:t xml:space="preserve">nội </w:t>
      </w:r>
      <w:r>
        <w:rPr>
          <w:lang w:val="vi-VN"/>
        </w:rPr>
        <w:t>dung và cung cấp nguồn dữ liệu để đơn vị tiếp nhận hồ sơ đề nghị thực hiện phân loại trang thiết bị y tế tra cứu về tính hợp lệ của các giấy tờ này.</w:t>
      </w:r>
    </w:p>
    <w:p w:rsidR="003B29FA" w:rsidRDefault="003B29FA" w:rsidP="003B29FA">
      <w:pPr>
        <w:pStyle w:val="NormalWeb"/>
        <w:spacing w:before="120" w:beforeAutospacing="0"/>
      </w:pPr>
      <w:r>
        <w:rPr>
          <w:b/>
          <w:bCs/>
          <w:lang w:val="vi-VN"/>
        </w:rPr>
        <w:lastRenderedPageBreak/>
        <w:t>Điều 4. Hi</w:t>
      </w:r>
      <w:r>
        <w:rPr>
          <w:b/>
          <w:bCs/>
        </w:rPr>
        <w:t>ệ</w:t>
      </w:r>
      <w:r>
        <w:rPr>
          <w:b/>
          <w:bCs/>
          <w:lang w:val="vi-VN"/>
        </w:rPr>
        <w:t>u l</w:t>
      </w:r>
      <w:r>
        <w:rPr>
          <w:b/>
          <w:bCs/>
        </w:rPr>
        <w:t>ự</w:t>
      </w:r>
      <w:r>
        <w:rPr>
          <w:b/>
          <w:bCs/>
          <w:lang w:val="vi-VN"/>
        </w:rPr>
        <w:t>c thi hành</w:t>
      </w:r>
    </w:p>
    <w:p w:rsidR="003B29FA" w:rsidRDefault="003B29FA" w:rsidP="003B29FA">
      <w:pPr>
        <w:pStyle w:val="NormalWeb"/>
        <w:spacing w:before="120" w:beforeAutospacing="0"/>
      </w:pPr>
      <w:r>
        <w:rPr>
          <w:lang w:val="vi-VN"/>
        </w:rPr>
        <w:t>Thông tư này có hiệu lực thi hành kể từ ngày 01 tháng 01 năm 2017.</w:t>
      </w:r>
    </w:p>
    <w:p w:rsidR="003B29FA" w:rsidRDefault="003B29FA" w:rsidP="003B29FA">
      <w:pPr>
        <w:pStyle w:val="NormalWeb"/>
        <w:spacing w:before="120" w:beforeAutospacing="0"/>
      </w:pPr>
      <w:r>
        <w:rPr>
          <w:lang w:val="vi-VN"/>
        </w:rPr>
        <w:t>Trong quá trình tổ chức thực hiện, nếu có khó khăn vướng mắc đề nghị các cơ quan, tổ chức, cá nhân phản ánh về Bộ Y tế (Vụ Trang thiết bị và Công trình y tế) để xem xét, giải quyết./.</w:t>
      </w:r>
    </w:p>
    <w:p w:rsidR="003B29FA" w:rsidRDefault="003B29FA" w:rsidP="003B29F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708"/>
        <w:gridCol w:w="4148"/>
      </w:tblGrid>
      <w:tr w:rsidR="003B29FA" w:rsidTr="00E56F33">
        <w:tc>
          <w:tcPr>
            <w:tcW w:w="4708" w:type="dxa"/>
            <w:tcMar>
              <w:top w:w="0" w:type="dxa"/>
              <w:left w:w="108" w:type="dxa"/>
              <w:bottom w:w="0" w:type="dxa"/>
              <w:right w:w="108" w:type="dxa"/>
            </w:tcMar>
            <w:hideMark/>
          </w:tcPr>
          <w:p w:rsidR="003B29FA" w:rsidRDefault="003B29FA" w:rsidP="00E56F33">
            <w:pPr>
              <w:pStyle w:val="NormalWeb"/>
              <w:spacing w:before="120" w:beforeAutospacing="0"/>
            </w:pPr>
            <w:r>
              <w:rPr>
                <w:lang w:val="vi-VN"/>
              </w:rPr>
              <w:t> </w:t>
            </w:r>
          </w:p>
          <w:p w:rsidR="003B29FA" w:rsidRDefault="003B29FA" w:rsidP="00E56F33">
            <w:pPr>
              <w:pStyle w:val="NormalWeb"/>
              <w:spacing w:before="120" w:beforeAutospacing="0"/>
            </w:pPr>
            <w:r>
              <w:rPr>
                <w:b/>
                <w:bCs/>
                <w:i/>
                <w:iCs/>
                <w:lang w:val="vi-VN"/>
              </w:rPr>
              <w:t>Nơi nhận:</w:t>
            </w:r>
            <w:r>
              <w:rPr>
                <w:b/>
                <w:bCs/>
                <w:i/>
                <w:iCs/>
                <w:lang w:val="vi-VN"/>
              </w:rPr>
              <w:br/>
            </w:r>
            <w:r>
              <w:rPr>
                <w:sz w:val="16"/>
                <w:szCs w:val="16"/>
                <w:lang w:val="vi-VN"/>
              </w:rPr>
              <w:t>- Văn phòng Chính phủ (Phòng Công báo; Cổng thông tin điện tử Chính phủ);</w:t>
            </w:r>
            <w:r>
              <w:rPr>
                <w:sz w:val="16"/>
                <w:szCs w:val="16"/>
                <w:lang w:val="vi-VN"/>
              </w:rPr>
              <w:br/>
              <w:t>- Bộ Tư pháp (Cục Kiểm tra VBQPPL, Cục KSTTHC);</w:t>
            </w:r>
            <w:r>
              <w:rPr>
                <w:sz w:val="16"/>
                <w:szCs w:val="16"/>
                <w:lang w:val="vi-VN"/>
              </w:rPr>
              <w:br/>
              <w:t>- Bộ, Cơ quan ngang Bộ, Cơ quan thuộc Chính phủ;</w:t>
            </w:r>
            <w:r>
              <w:rPr>
                <w:sz w:val="16"/>
                <w:szCs w:val="16"/>
                <w:lang w:val="vi-VN"/>
              </w:rPr>
              <w:br/>
              <w:t>- Bộ trưởng Bộ Y tế (để b/c);</w:t>
            </w:r>
            <w:r>
              <w:rPr>
                <w:sz w:val="16"/>
                <w:szCs w:val="16"/>
                <w:lang w:val="vi-VN"/>
              </w:rPr>
              <w:br/>
              <w:t>- Các Thứ tr</w:t>
            </w:r>
            <w:r>
              <w:rPr>
                <w:sz w:val="16"/>
                <w:szCs w:val="16"/>
              </w:rPr>
              <w:t>ưở</w:t>
            </w:r>
            <w:r>
              <w:rPr>
                <w:sz w:val="16"/>
                <w:szCs w:val="16"/>
                <w:lang w:val="vi-VN"/>
              </w:rPr>
              <w:t>ng Bộ Y tế (để phối hợp chỉ đạo);</w:t>
            </w:r>
            <w:r>
              <w:rPr>
                <w:sz w:val="16"/>
                <w:szCs w:val="16"/>
                <w:lang w:val="vi-VN"/>
              </w:rPr>
              <w:br/>
              <w:t>- UBND tỉnh, thành phố trực thuộc Trung ương;</w:t>
            </w:r>
            <w:r>
              <w:rPr>
                <w:sz w:val="16"/>
                <w:szCs w:val="16"/>
                <w:lang w:val="vi-VN"/>
              </w:rPr>
              <w:br/>
              <w:t>- Sở Y tế tỉnh, thành phố trực thuộc Trung ương;</w:t>
            </w:r>
            <w:r>
              <w:rPr>
                <w:sz w:val="16"/>
                <w:szCs w:val="16"/>
                <w:lang w:val="vi-VN"/>
              </w:rPr>
              <w:br/>
              <w:t>- Các đơn vị trực thuộc Bộ Y tế;</w:t>
            </w:r>
            <w:r>
              <w:rPr>
                <w:sz w:val="16"/>
                <w:szCs w:val="16"/>
                <w:lang w:val="vi-VN"/>
              </w:rPr>
              <w:br/>
              <w:t>- Hội Thiết bị y tế Việt Nam;</w:t>
            </w:r>
            <w:r>
              <w:rPr>
                <w:sz w:val="16"/>
                <w:szCs w:val="16"/>
                <w:lang w:val="vi-VN"/>
              </w:rPr>
              <w:br/>
              <w:t>- Các Vụ, Cục, Tổng cục, Văn phòng Bộ, Thanh tra Bộ;</w:t>
            </w:r>
            <w:r>
              <w:rPr>
                <w:sz w:val="16"/>
                <w:szCs w:val="16"/>
                <w:lang w:val="vi-VN"/>
              </w:rPr>
              <w:br/>
              <w:t>- Cổng thông tin điện tử Bộ Y tế;</w:t>
            </w:r>
            <w:r>
              <w:rPr>
                <w:sz w:val="16"/>
                <w:szCs w:val="16"/>
                <w:lang w:val="vi-VN"/>
              </w:rPr>
              <w:br/>
              <w:t>- Lưu: VT, PC, TB-CT (03 b</w:t>
            </w:r>
            <w:r>
              <w:rPr>
                <w:sz w:val="16"/>
                <w:szCs w:val="16"/>
              </w:rPr>
              <w:t>ả</w:t>
            </w:r>
            <w:r>
              <w:rPr>
                <w:sz w:val="16"/>
                <w:szCs w:val="16"/>
                <w:lang w:val="vi-VN"/>
              </w:rPr>
              <w:t>n).</w:t>
            </w:r>
          </w:p>
        </w:tc>
        <w:tc>
          <w:tcPr>
            <w:tcW w:w="4148" w:type="dxa"/>
            <w:tcMar>
              <w:top w:w="0" w:type="dxa"/>
              <w:left w:w="108" w:type="dxa"/>
              <w:bottom w:w="0" w:type="dxa"/>
              <w:right w:w="108" w:type="dxa"/>
            </w:tcMar>
            <w:hideMark/>
          </w:tcPr>
          <w:p w:rsidR="003B29FA" w:rsidRDefault="003B29FA" w:rsidP="00E56F33">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Nguyễn Viết Tiến</w:t>
            </w:r>
          </w:p>
        </w:tc>
      </w:tr>
    </w:tbl>
    <w:p w:rsidR="003B29FA" w:rsidRDefault="003B29FA" w:rsidP="003B29FA">
      <w:pPr>
        <w:pStyle w:val="NormalWeb"/>
        <w:spacing w:before="120" w:beforeAutospacing="0"/>
      </w:pPr>
      <w:r>
        <w:t> </w:t>
      </w:r>
    </w:p>
    <w:p w:rsidR="003B29FA" w:rsidRDefault="003B29FA" w:rsidP="003B29FA">
      <w:pPr>
        <w:pStyle w:val="NormalWeb"/>
        <w:spacing w:before="120" w:beforeAutospacing="0"/>
        <w:jc w:val="center"/>
      </w:pPr>
      <w:r>
        <w:rPr>
          <w:b/>
          <w:bCs/>
          <w:lang w:val="vi-VN"/>
        </w:rPr>
        <w:t>PHỤ LỤC</w:t>
      </w:r>
    </w:p>
    <w:p w:rsidR="003B29FA" w:rsidRDefault="003B29FA" w:rsidP="003B29FA">
      <w:pPr>
        <w:pStyle w:val="NormalWeb"/>
        <w:spacing w:before="120" w:beforeAutospacing="0"/>
        <w:jc w:val="center"/>
      </w:pPr>
      <w:r>
        <w:rPr>
          <w:lang w:val="vi-VN"/>
        </w:rPr>
        <w:t>DANH SÁCH CÁC NƯỚC MÀ VIỆT NAM THỪA NHẬN KẾT QUẢ PHÂN LOẠI TRANG THIẾT BỊ Y TẾ</w:t>
      </w:r>
      <w:r>
        <w:br/>
      </w:r>
      <w:r>
        <w:rPr>
          <w:i/>
          <w:iCs/>
          <w:lang w:val="vi-VN"/>
        </w:rPr>
        <w:t xml:space="preserve">(Ban hành kèm theo Thông tư </w:t>
      </w:r>
      <w:r>
        <w:rPr>
          <w:i/>
          <w:iCs/>
        </w:rPr>
        <w:t>số 42</w:t>
      </w:r>
      <w:r>
        <w:rPr>
          <w:i/>
          <w:iCs/>
          <w:lang w:val="vi-VN"/>
        </w:rPr>
        <w:t>/2016/TT-BYT ngày</w:t>
      </w:r>
      <w:r>
        <w:rPr>
          <w:i/>
          <w:iCs/>
        </w:rPr>
        <w:t xml:space="preserve"> 15/11</w:t>
      </w:r>
      <w:r>
        <w:rPr>
          <w:i/>
          <w:iCs/>
          <w:lang w:val="vi-VN"/>
        </w:rPr>
        <w:t>/2016 của Bộ trưởng Bộ Y tế)</w:t>
      </w:r>
    </w:p>
    <w:p w:rsidR="003B29FA" w:rsidRDefault="003B29FA" w:rsidP="003B29FA">
      <w:pPr>
        <w:pStyle w:val="NormalWeb"/>
        <w:spacing w:before="120" w:beforeAutospacing="0"/>
      </w:pPr>
      <w:r>
        <w:rPr>
          <w:b/>
          <w:bCs/>
          <w:lang w:val="vi-VN"/>
        </w:rPr>
        <w:t>1. Danh sách các nước thuộc hiệp hội các quốc gia Đông Nam Á:</w:t>
      </w:r>
    </w:p>
    <w:p w:rsidR="003B29FA" w:rsidRDefault="003B29FA" w:rsidP="003B29FA">
      <w:pPr>
        <w:pStyle w:val="NormalWeb"/>
        <w:spacing w:before="120" w:beforeAutospacing="0"/>
      </w:pPr>
      <w:r>
        <w:rPr>
          <w:lang w:val="vi-VN"/>
        </w:rPr>
        <w:t>- Cộng hòa Indonesia;</w:t>
      </w:r>
    </w:p>
    <w:p w:rsidR="003B29FA" w:rsidRDefault="003B29FA" w:rsidP="003B29FA">
      <w:pPr>
        <w:pStyle w:val="NormalWeb"/>
        <w:spacing w:before="120" w:beforeAutospacing="0"/>
      </w:pPr>
      <w:r>
        <w:rPr>
          <w:lang w:val="vi-VN"/>
        </w:rPr>
        <w:t>- Cộng hòa dân chủ nhân dân Lào;</w:t>
      </w:r>
    </w:p>
    <w:p w:rsidR="003B29FA" w:rsidRDefault="003B29FA" w:rsidP="003B29FA">
      <w:pPr>
        <w:pStyle w:val="NormalWeb"/>
        <w:spacing w:before="120" w:beforeAutospacing="0"/>
      </w:pPr>
      <w:r>
        <w:rPr>
          <w:lang w:val="vi-VN"/>
        </w:rPr>
        <w:t>- Cộng hòa Philippines;</w:t>
      </w:r>
    </w:p>
    <w:p w:rsidR="003B29FA" w:rsidRDefault="003B29FA" w:rsidP="003B29FA">
      <w:pPr>
        <w:pStyle w:val="NormalWeb"/>
        <w:spacing w:before="120" w:beforeAutospacing="0"/>
      </w:pPr>
      <w:r>
        <w:rPr>
          <w:lang w:val="vi-VN"/>
        </w:rPr>
        <w:t>- Cộng hòa Singapore;</w:t>
      </w:r>
    </w:p>
    <w:p w:rsidR="003B29FA" w:rsidRDefault="003B29FA" w:rsidP="003B29FA">
      <w:pPr>
        <w:pStyle w:val="NormalWeb"/>
        <w:spacing w:before="120" w:beforeAutospacing="0"/>
      </w:pPr>
      <w:r>
        <w:rPr>
          <w:lang w:val="vi-VN"/>
        </w:rPr>
        <w:t>- Liên bang Malaysia;</w:t>
      </w:r>
    </w:p>
    <w:p w:rsidR="003B29FA" w:rsidRDefault="003B29FA" w:rsidP="003B29FA">
      <w:pPr>
        <w:pStyle w:val="NormalWeb"/>
        <w:spacing w:before="120" w:beforeAutospacing="0"/>
      </w:pPr>
      <w:r>
        <w:rPr>
          <w:lang w:val="vi-VN"/>
        </w:rPr>
        <w:t>- Liên bang Myanmar;</w:t>
      </w:r>
    </w:p>
    <w:p w:rsidR="003B29FA" w:rsidRDefault="003B29FA" w:rsidP="003B29FA">
      <w:pPr>
        <w:pStyle w:val="NormalWeb"/>
        <w:spacing w:before="120" w:beforeAutospacing="0"/>
      </w:pPr>
      <w:r>
        <w:rPr>
          <w:lang w:val="vi-VN"/>
        </w:rPr>
        <w:t>- Vương quốc Brunei;</w:t>
      </w:r>
    </w:p>
    <w:p w:rsidR="003B29FA" w:rsidRDefault="003B29FA" w:rsidP="003B29FA">
      <w:pPr>
        <w:pStyle w:val="NormalWeb"/>
        <w:spacing w:before="120" w:beforeAutospacing="0"/>
      </w:pPr>
      <w:r>
        <w:rPr>
          <w:lang w:val="vi-VN"/>
        </w:rPr>
        <w:t>- Vương quốc Campuchia.</w:t>
      </w:r>
    </w:p>
    <w:p w:rsidR="003B29FA" w:rsidRDefault="003B29FA" w:rsidP="003B29FA">
      <w:pPr>
        <w:pStyle w:val="NormalWeb"/>
        <w:spacing w:before="120" w:beforeAutospacing="0"/>
      </w:pPr>
      <w:r>
        <w:rPr>
          <w:lang w:val="vi-VN"/>
        </w:rPr>
        <w:lastRenderedPageBreak/>
        <w:t>- Vương quốc Thái Lan.</w:t>
      </w:r>
    </w:p>
    <w:p w:rsidR="003B29FA" w:rsidRDefault="003B29FA" w:rsidP="003B29FA">
      <w:pPr>
        <w:pStyle w:val="NormalWeb"/>
        <w:spacing w:before="120" w:beforeAutospacing="0"/>
      </w:pPr>
      <w:r>
        <w:rPr>
          <w:b/>
          <w:bCs/>
          <w:lang w:val="vi-VN"/>
        </w:rPr>
        <w:t>2. Danh sách các n</w:t>
      </w:r>
      <w:r>
        <w:rPr>
          <w:b/>
          <w:bCs/>
        </w:rPr>
        <w:t>ướ</w:t>
      </w:r>
      <w:r>
        <w:rPr>
          <w:b/>
          <w:bCs/>
          <w:lang w:val="vi-VN"/>
        </w:rPr>
        <w:t>c khu vực Châu Âu:</w:t>
      </w:r>
    </w:p>
    <w:tbl>
      <w:tblPr>
        <w:tblW w:w="5000" w:type="pct"/>
        <w:tblCellMar>
          <w:left w:w="0" w:type="dxa"/>
          <w:right w:w="0" w:type="dxa"/>
        </w:tblCellMar>
        <w:tblLook w:val="04A0" w:firstRow="1" w:lastRow="0" w:firstColumn="1" w:lastColumn="0" w:noHBand="0" w:noVBand="1"/>
      </w:tblPr>
      <w:tblGrid>
        <w:gridCol w:w="4321"/>
        <w:gridCol w:w="5255"/>
      </w:tblGrid>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Áo;</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Romania;</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Ba Lan;</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Séc;</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Bồ Đào Nha;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Síp;</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Bulgaria;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Slovakia;</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Croatia;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Slovenia;</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Estonia;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Tây Ban Nha;</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Hungary;</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Cộng hòa Ý;</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Hy Lạp;</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Đại công quốc Luxembourg;</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Ireland;</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Liên bang Thụy Sỹ;</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Latvia;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Vương quốc Anh;</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liên bang Đức;</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Vương quốc Bỉ;</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Litva;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Vương quốc Đan Mạch;</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Malta;</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Vương quốc Hà Lan;</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Phần Lan;</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Vương quốc Thụy Điển.</w:t>
            </w:r>
          </w:p>
        </w:tc>
      </w:tr>
      <w:tr w:rsidR="003B29FA" w:rsidTr="00E56F33">
        <w:tc>
          <w:tcPr>
            <w:tcW w:w="2256" w:type="pct"/>
            <w:tcMar>
              <w:top w:w="28" w:type="dxa"/>
              <w:left w:w="108" w:type="dxa"/>
              <w:bottom w:w="28" w:type="dxa"/>
              <w:right w:w="108" w:type="dxa"/>
            </w:tcMar>
            <w:hideMark/>
          </w:tcPr>
          <w:p w:rsidR="003B29FA" w:rsidRDefault="003B29FA" w:rsidP="00E56F33">
            <w:pPr>
              <w:pStyle w:val="NormalWeb"/>
              <w:spacing w:before="120" w:beforeAutospacing="0"/>
            </w:pPr>
            <w:r>
              <w:t xml:space="preserve">- </w:t>
            </w:r>
            <w:r>
              <w:rPr>
                <w:lang w:val="vi-VN"/>
              </w:rPr>
              <w:t>Cộng hòa Pháp;</w:t>
            </w:r>
          </w:p>
        </w:tc>
        <w:tc>
          <w:tcPr>
            <w:tcW w:w="2744" w:type="pct"/>
            <w:tcMar>
              <w:top w:w="28" w:type="dxa"/>
              <w:left w:w="108" w:type="dxa"/>
              <w:bottom w:w="28" w:type="dxa"/>
              <w:right w:w="108" w:type="dxa"/>
            </w:tcMar>
            <w:hideMark/>
          </w:tcPr>
          <w:p w:rsidR="003B29FA" w:rsidRDefault="003B29FA" w:rsidP="00E56F33">
            <w:pPr>
              <w:pStyle w:val="NormalWeb"/>
              <w:spacing w:before="120" w:beforeAutospacing="0"/>
            </w:pPr>
            <w:r>
              <w:rPr>
                <w:lang w:val="vi-VN"/>
              </w:rPr>
              <w:t> </w:t>
            </w:r>
          </w:p>
        </w:tc>
      </w:tr>
    </w:tbl>
    <w:p w:rsidR="003B29FA" w:rsidRDefault="003B29FA" w:rsidP="003B29FA">
      <w:pPr>
        <w:pStyle w:val="NormalWeb"/>
        <w:spacing w:before="120" w:beforeAutospacing="0"/>
      </w:pPr>
      <w:r>
        <w:rPr>
          <w:b/>
          <w:bCs/>
          <w:lang w:val="vi-VN"/>
        </w:rPr>
        <w:t>3. H</w:t>
      </w:r>
      <w:r>
        <w:rPr>
          <w:b/>
          <w:bCs/>
        </w:rPr>
        <w:t>ợ</w:t>
      </w:r>
      <w:r>
        <w:rPr>
          <w:b/>
          <w:bCs/>
          <w:lang w:val="vi-VN"/>
        </w:rPr>
        <w:t xml:space="preserve">p chủng quốc Hoa Kỳ, Nhật Bản, Hàn Quốc, Thịnh vượng chung </w:t>
      </w:r>
      <w:r>
        <w:rPr>
          <w:b/>
          <w:bCs/>
        </w:rPr>
        <w:t xml:space="preserve">Úc và </w:t>
      </w:r>
      <w:r>
        <w:rPr>
          <w:b/>
          <w:bCs/>
          <w:lang w:val="vi-VN"/>
        </w:rPr>
        <w:t>Canada.</w:t>
      </w:r>
    </w:p>
    <w:p w:rsidR="00651B57" w:rsidRDefault="00651B57">
      <w:bookmarkStart w:id="0" w:name="_GoBack"/>
      <w:bookmarkEnd w:id="0"/>
    </w:p>
    <w:sectPr w:rsidR="0065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FA"/>
    <w:rsid w:val="003B29FA"/>
    <w:rsid w:val="0065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F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9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F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29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2017-12-10T06:19:00Z</dcterms:created>
  <dcterms:modified xsi:type="dcterms:W3CDTF">2017-12-10T06:21:00Z</dcterms:modified>
</cp:coreProperties>
</file>