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4" w:type="dxa"/>
        <w:tblCellMar>
          <w:left w:w="0" w:type="dxa"/>
          <w:right w:w="0" w:type="dxa"/>
        </w:tblCellMar>
        <w:tblLook w:val="04A0" w:firstRow="1" w:lastRow="0" w:firstColumn="1" w:lastColumn="0" w:noHBand="0" w:noVBand="1"/>
      </w:tblPr>
      <w:tblGrid>
        <w:gridCol w:w="4398"/>
        <w:gridCol w:w="5274"/>
      </w:tblGrid>
      <w:tr w:rsidR="007A5151" w:rsidTr="00E07699">
        <w:trPr>
          <w:tblCellSpacing w:w="24" w:type="dxa"/>
        </w:trPr>
        <w:tc>
          <w:tcPr>
            <w:tcW w:w="2229" w:type="pct"/>
            <w:tcMar>
              <w:top w:w="57" w:type="dxa"/>
              <w:left w:w="108" w:type="dxa"/>
              <w:bottom w:w="57" w:type="dxa"/>
              <w:right w:w="108" w:type="dxa"/>
            </w:tcMar>
            <w:hideMark/>
          </w:tcPr>
          <w:p w:rsidR="007A5151" w:rsidRDefault="007A5151" w:rsidP="00E07699">
            <w:pPr>
              <w:pStyle w:val="NormalWeb"/>
              <w:spacing w:after="120" w:afterAutospacing="0"/>
              <w:jc w:val="center"/>
            </w:pPr>
            <w:r>
              <w:rPr>
                <w:b/>
                <w:bCs/>
                <w:lang w:val="nl-NL"/>
              </w:rPr>
              <w:t>BỘ NÔNG NGHIỆP VÀ PHÁT TRIỂN NÔNG THÔN</w:t>
            </w:r>
            <w:r>
              <w:rPr>
                <w:b/>
                <w:bCs/>
                <w:lang w:val="nl-NL"/>
              </w:rPr>
              <w:br/>
              <w:t>********</w:t>
            </w:r>
          </w:p>
        </w:tc>
        <w:tc>
          <w:tcPr>
            <w:tcW w:w="2681" w:type="pct"/>
            <w:tcMar>
              <w:top w:w="57" w:type="dxa"/>
              <w:left w:w="108" w:type="dxa"/>
              <w:bottom w:w="57" w:type="dxa"/>
              <w:right w:w="108" w:type="dxa"/>
            </w:tcMar>
            <w:hideMark/>
          </w:tcPr>
          <w:p w:rsidR="007A5151" w:rsidRDefault="007A5151" w:rsidP="00E07699">
            <w:pPr>
              <w:pStyle w:val="NormalWeb"/>
              <w:spacing w:after="120" w:afterAutospacing="0"/>
              <w:jc w:val="center"/>
            </w:pPr>
            <w:r>
              <w:rPr>
                <w:b/>
                <w:bCs/>
                <w:lang w:val="nl-NL"/>
              </w:rPr>
              <w:t>CỘNG HOÀ XÃ HỘI CHỦ NGHĨA VIỆT NAM</w:t>
            </w:r>
            <w:r>
              <w:rPr>
                <w:b/>
                <w:bCs/>
                <w:lang w:val="nl-NL"/>
              </w:rPr>
              <w:br/>
              <w:t>Độc lập - Tự do - Hạnh phúc</w:t>
            </w:r>
            <w:r>
              <w:rPr>
                <w:b/>
                <w:bCs/>
                <w:lang w:val="nl-NL"/>
              </w:rPr>
              <w:br/>
              <w:t>********</w:t>
            </w:r>
          </w:p>
        </w:tc>
      </w:tr>
      <w:tr w:rsidR="007A5151" w:rsidTr="00E07699">
        <w:trPr>
          <w:tblCellSpacing w:w="24" w:type="dxa"/>
        </w:trPr>
        <w:tc>
          <w:tcPr>
            <w:tcW w:w="2229" w:type="pct"/>
            <w:tcMar>
              <w:top w:w="57" w:type="dxa"/>
              <w:left w:w="108" w:type="dxa"/>
              <w:bottom w:w="57" w:type="dxa"/>
              <w:right w:w="108" w:type="dxa"/>
            </w:tcMar>
            <w:hideMark/>
          </w:tcPr>
          <w:p w:rsidR="007A5151" w:rsidRDefault="007A5151" w:rsidP="00E07699">
            <w:pPr>
              <w:pStyle w:val="NormalWeb"/>
              <w:spacing w:after="120" w:afterAutospacing="0"/>
              <w:jc w:val="center"/>
            </w:pPr>
            <w:r>
              <w:rPr>
                <w:lang w:val="nl-NL"/>
              </w:rPr>
              <w:t>Số: 78/2004/QĐ-BNN</w:t>
            </w:r>
          </w:p>
        </w:tc>
        <w:tc>
          <w:tcPr>
            <w:tcW w:w="2681" w:type="pct"/>
            <w:tcMar>
              <w:top w:w="57" w:type="dxa"/>
              <w:left w:w="108" w:type="dxa"/>
              <w:bottom w:w="57" w:type="dxa"/>
              <w:right w:w="108" w:type="dxa"/>
            </w:tcMar>
            <w:hideMark/>
          </w:tcPr>
          <w:p w:rsidR="007A5151" w:rsidRDefault="007A5151" w:rsidP="00E07699">
            <w:pPr>
              <w:pStyle w:val="NormalWeb"/>
              <w:spacing w:after="120" w:afterAutospacing="0"/>
              <w:jc w:val="right"/>
            </w:pPr>
            <w:r>
              <w:rPr>
                <w:i/>
                <w:iCs/>
                <w:lang w:val="nl-NL"/>
              </w:rPr>
              <w:t>Hà Nội, ngày 31 tháng 12 năm 2004</w:t>
            </w:r>
          </w:p>
        </w:tc>
      </w:tr>
    </w:tbl>
    <w:p w:rsidR="007A5151" w:rsidRDefault="007A5151" w:rsidP="007A5151">
      <w:pPr>
        <w:pStyle w:val="NormalWeb"/>
        <w:spacing w:after="120" w:afterAutospacing="0"/>
        <w:jc w:val="center"/>
      </w:pPr>
      <w:r>
        <w:rPr>
          <w:b/>
          <w:bCs/>
          <w:lang w:val="nl-NL"/>
        </w:rPr>
        <w:t> </w:t>
      </w:r>
    </w:p>
    <w:p w:rsidR="007A5151" w:rsidRDefault="007A5151" w:rsidP="007A5151">
      <w:pPr>
        <w:pStyle w:val="NormalWeb"/>
        <w:spacing w:after="120" w:afterAutospacing="0"/>
        <w:jc w:val="center"/>
      </w:pPr>
      <w:r>
        <w:rPr>
          <w:b/>
          <w:bCs/>
          <w:lang w:val="nl-NL"/>
        </w:rPr>
        <w:t xml:space="preserve">QUYẾT ĐỊNH </w:t>
      </w:r>
    </w:p>
    <w:p w:rsidR="007A5151" w:rsidRDefault="007A5151" w:rsidP="007A5151">
      <w:pPr>
        <w:pStyle w:val="NormalWeb"/>
        <w:spacing w:after="120" w:afterAutospacing="0"/>
        <w:jc w:val="center"/>
      </w:pPr>
      <w:r>
        <w:rPr>
          <w:lang w:val="nl-NL"/>
        </w:rPr>
        <w:t>CỦA BỘ TRƯỞNG BỘ NÔNG NGHIỆP VÀ PHÁT TRIỂN NÔNG THÔN SỐ 78/2004/QĐ-BNN, NGÀY 31 THÁNG 12 NĂM 2004 VỀ VIỆC BAN HÀNH DANH MỤC GIỐNG VẬT NUÔI QUÝ HIẾM CẤM XUẤT KHẨU</w:t>
      </w:r>
    </w:p>
    <w:p w:rsidR="007A5151" w:rsidRDefault="007A5151" w:rsidP="007A5151">
      <w:pPr>
        <w:pStyle w:val="NormalWeb"/>
        <w:spacing w:after="120" w:afterAutospacing="0"/>
        <w:jc w:val="center"/>
      </w:pPr>
      <w:r>
        <w:rPr>
          <w:b/>
          <w:bCs/>
          <w:lang w:val="nl-NL"/>
        </w:rPr>
        <w:t>BỘ TRƯỞNG BỘ NÔNG NGHIỆP VÀ PHÁT TRIỂN NÔNG THÔN</w:t>
      </w:r>
    </w:p>
    <w:p w:rsidR="007A5151" w:rsidRDefault="007A5151" w:rsidP="007A5151">
      <w:pPr>
        <w:pStyle w:val="NormalWeb"/>
        <w:spacing w:after="120" w:afterAutospacing="0"/>
      </w:pPr>
      <w:r>
        <w:rPr>
          <w:i/>
          <w:iCs/>
          <w:lang w:val="nl-NL"/>
        </w:rPr>
        <w:t>Căn cứ Pháp lệnh Giống vật nuôi số 16/2004/PL-UBTVQH11 ngày 24 tháng 3 năm 2004 của Uỷ ban thường vụ Quốc hội;</w:t>
      </w:r>
      <w:r>
        <w:br/>
      </w:r>
      <w:r>
        <w:rPr>
          <w:i/>
          <w:iCs/>
          <w:lang w:val="nl-NL"/>
        </w:rPr>
        <w:t>Căn cứ Pháp lệnh chất lượng hàng hoá số 18/1999/PL-UBTVQH10 ngày 24 tháng 12 năm 1999 của Uỷ ban thường vụ Quốc hội;</w:t>
      </w:r>
      <w:r>
        <w:br/>
      </w:r>
      <w:r>
        <w:rPr>
          <w:i/>
          <w:iCs/>
          <w:lang w:val="nl-NL"/>
        </w:rPr>
        <w:t>Căn cứ Nghị định số 86/2003/NĐ-CP ngày 18/7/2003 của Chính phủ Quy định chức năng, nhiệm vụ, quyền hạn và cơ cấu tổ chức của Bộ Nông nghiệp và Phát triển nông thôn;</w:t>
      </w:r>
      <w:r>
        <w:br/>
      </w:r>
      <w:r>
        <w:rPr>
          <w:i/>
          <w:iCs/>
          <w:lang w:val="nl-NL"/>
        </w:rPr>
        <w:t>Theo đề nghị của Cục trưởng Cục Nông nghiệp, Vụ trưởng Vụ Khoa học công nghệ,</w:t>
      </w:r>
    </w:p>
    <w:p w:rsidR="007A5151" w:rsidRDefault="007A5151" w:rsidP="007A5151">
      <w:pPr>
        <w:pStyle w:val="NormalWeb"/>
        <w:spacing w:after="120" w:afterAutospacing="0"/>
        <w:jc w:val="center"/>
      </w:pPr>
      <w:r>
        <w:rPr>
          <w:b/>
          <w:bCs/>
          <w:lang w:val="nl-NL"/>
        </w:rPr>
        <w:t>QUYẾT ĐỊNH:</w:t>
      </w:r>
    </w:p>
    <w:p w:rsidR="007A5151" w:rsidRDefault="007A5151" w:rsidP="007A5151">
      <w:pPr>
        <w:pStyle w:val="NormalWeb"/>
        <w:spacing w:after="120" w:afterAutospacing="0"/>
      </w:pPr>
      <w:r>
        <w:rPr>
          <w:b/>
          <w:bCs/>
          <w:lang w:val="nl-NL"/>
        </w:rPr>
        <w:t>Điều 1.</w:t>
      </w:r>
      <w:r>
        <w:rPr>
          <w:lang w:val="nl-NL"/>
        </w:rPr>
        <w:t xml:space="preserve"> Ban hành kèm theo Quyết định này: Danh mục Giống vật nuôi phải áp dụng tiêu chuẩn ngành.</w:t>
      </w:r>
    </w:p>
    <w:p w:rsidR="007A5151" w:rsidRDefault="007A5151" w:rsidP="007A5151">
      <w:pPr>
        <w:pStyle w:val="NormalWeb"/>
        <w:spacing w:after="120" w:afterAutospacing="0"/>
      </w:pPr>
      <w:r>
        <w:rPr>
          <w:b/>
          <w:bCs/>
          <w:lang w:val="nl-NL"/>
        </w:rPr>
        <w:t>Điều 2.</w:t>
      </w:r>
      <w:r>
        <w:rPr>
          <w:lang w:val="nl-NL"/>
        </w:rPr>
        <w:t xml:space="preserve"> Trong từng thời kỳ Bộ Nông nghiệp và PTNT sẽ điều chỉnh, bổ sung Danh mục này nhằm đáp ứng nhu cầu bảo vệ giống vật nuôi quý hiếm.</w:t>
      </w:r>
    </w:p>
    <w:p w:rsidR="007A5151" w:rsidRDefault="007A5151" w:rsidP="007A5151">
      <w:pPr>
        <w:pStyle w:val="NormalWeb"/>
        <w:spacing w:after="120" w:afterAutospacing="0"/>
      </w:pPr>
      <w:r>
        <w:rPr>
          <w:b/>
          <w:bCs/>
          <w:lang w:val="nl-NL"/>
        </w:rPr>
        <w:t>Điều 3.</w:t>
      </w:r>
      <w:r>
        <w:rPr>
          <w:lang w:val="nl-NL"/>
        </w:rPr>
        <w:t xml:space="preserve"> Quyết định này có hiệu lực sau 15 ngày, kể từ ngày đăng công báo.</w:t>
      </w:r>
    </w:p>
    <w:p w:rsidR="007A5151" w:rsidRDefault="007A5151" w:rsidP="007A5151">
      <w:pPr>
        <w:pStyle w:val="NormalWeb"/>
        <w:spacing w:after="120" w:afterAutospacing="0"/>
      </w:pPr>
      <w:r>
        <w:rPr>
          <w:b/>
          <w:bCs/>
          <w:lang w:val="nl-NL"/>
        </w:rPr>
        <w:t xml:space="preserve">Điều 4. </w:t>
      </w:r>
      <w:r>
        <w:rPr>
          <w:lang w:val="nl-NL"/>
        </w:rPr>
        <w:t>Chánh Văn phòng, Cục trưởng Cục Nông nghiệp, Vụ trưởng Vụ Khoa học công nghệ, Giám đốc sở Nông nghiệp và PTNT các tỉnh và thành phố trực thuộc Trung ương, Thủ trưởng các cơ quan liên quan chịu trách nhiệm thi hành Quyết định này.</w:t>
      </w:r>
    </w:p>
    <w:p w:rsidR="007A5151" w:rsidRDefault="007A5151" w:rsidP="007A5151">
      <w:pPr>
        <w:pStyle w:val="NormalWeb"/>
        <w:spacing w:after="120" w:afterAutospacing="0"/>
      </w:pPr>
      <w:r>
        <w:rPr>
          <w:lang w:val="nl-NL"/>
        </w:rPr>
        <w:t> </w:t>
      </w:r>
    </w:p>
    <w:tbl>
      <w:tblPr>
        <w:tblW w:w="0" w:type="auto"/>
        <w:tblCellMar>
          <w:left w:w="0" w:type="dxa"/>
          <w:right w:w="0" w:type="dxa"/>
        </w:tblCellMar>
        <w:tblLook w:val="04A0" w:firstRow="1" w:lastRow="0" w:firstColumn="1" w:lastColumn="0" w:noHBand="0" w:noVBand="1"/>
      </w:tblPr>
      <w:tblGrid>
        <w:gridCol w:w="4643"/>
        <w:gridCol w:w="4644"/>
      </w:tblGrid>
      <w:tr w:rsidR="007A5151" w:rsidTr="00E07699">
        <w:tc>
          <w:tcPr>
            <w:tcW w:w="4643" w:type="dxa"/>
            <w:tcMar>
              <w:top w:w="0" w:type="dxa"/>
              <w:left w:w="108" w:type="dxa"/>
              <w:bottom w:w="0" w:type="dxa"/>
              <w:right w:w="108" w:type="dxa"/>
            </w:tcMar>
            <w:hideMark/>
          </w:tcPr>
          <w:p w:rsidR="007A5151" w:rsidRDefault="007A5151" w:rsidP="00E07699">
            <w:pPr>
              <w:pStyle w:val="NormalWeb"/>
              <w:spacing w:after="120" w:afterAutospacing="0"/>
            </w:pPr>
            <w:r>
              <w:rPr>
                <w:lang w:val="nl-NL"/>
              </w:rPr>
              <w:t> </w:t>
            </w:r>
          </w:p>
        </w:tc>
        <w:tc>
          <w:tcPr>
            <w:tcW w:w="4644" w:type="dxa"/>
            <w:tcMar>
              <w:top w:w="0" w:type="dxa"/>
              <w:left w:w="108" w:type="dxa"/>
              <w:bottom w:w="0" w:type="dxa"/>
              <w:right w:w="108" w:type="dxa"/>
            </w:tcMar>
            <w:hideMark/>
          </w:tcPr>
          <w:p w:rsidR="007A5151" w:rsidRDefault="007A5151" w:rsidP="00E07699">
            <w:pPr>
              <w:pStyle w:val="NormalWeb"/>
              <w:spacing w:after="120" w:afterAutospacing="0"/>
              <w:jc w:val="center"/>
            </w:pPr>
            <w:r>
              <w:rPr>
                <w:b/>
                <w:bCs/>
                <w:lang w:val="nl-NL"/>
              </w:rPr>
              <w:t>Bùi Bá Bổng</w:t>
            </w:r>
          </w:p>
          <w:p w:rsidR="007A5151" w:rsidRDefault="007A5151" w:rsidP="00E07699">
            <w:pPr>
              <w:pStyle w:val="NormalWeb"/>
              <w:spacing w:after="120" w:afterAutospacing="0"/>
              <w:jc w:val="center"/>
            </w:pPr>
            <w:r>
              <w:rPr>
                <w:lang w:val="nl-NL"/>
              </w:rPr>
              <w:t>(Đã ký)</w:t>
            </w:r>
          </w:p>
        </w:tc>
      </w:tr>
    </w:tbl>
    <w:p w:rsidR="007A5151" w:rsidRDefault="007A5151" w:rsidP="007A5151">
      <w:pPr>
        <w:pStyle w:val="NormalWeb"/>
        <w:spacing w:after="120" w:afterAutospacing="0"/>
      </w:pPr>
      <w:r>
        <w:lastRenderedPageBreak/>
        <w:t> </w:t>
      </w:r>
    </w:p>
    <w:p w:rsidR="007A5151" w:rsidRDefault="007A5151" w:rsidP="007A5151">
      <w:pPr>
        <w:pStyle w:val="NormalWeb"/>
        <w:spacing w:after="120" w:afterAutospacing="0"/>
        <w:jc w:val="center"/>
      </w:pPr>
      <w:r>
        <w:rPr>
          <w:b/>
          <w:bCs/>
          <w:lang w:val="nl-NL"/>
        </w:rPr>
        <w:t xml:space="preserve">DANH MỤC </w:t>
      </w:r>
    </w:p>
    <w:p w:rsidR="007A5151" w:rsidRDefault="007A5151" w:rsidP="007A5151">
      <w:pPr>
        <w:pStyle w:val="NormalWeb"/>
        <w:spacing w:after="120" w:afterAutospacing="0"/>
        <w:jc w:val="center"/>
      </w:pPr>
      <w:r>
        <w:rPr>
          <w:lang w:val="nl-NL"/>
        </w:rPr>
        <w:t>GIỐNG VẬT NUÔI QUÝ HIẾM CẤM XUẤT KHẨU</w:t>
      </w:r>
      <w:r>
        <w:br/>
      </w:r>
      <w:r>
        <w:rPr>
          <w:i/>
          <w:iCs/>
          <w:lang w:val="nl-NL"/>
        </w:rPr>
        <w:t>(Ban hành kèm theo Quyết định số 78/2004/QĐ-BNN ngày 31 tháng 12 năm 2004 của Bộ trưởng Bộ Nông nghiệp và Phát triển nông thôn)</w:t>
      </w:r>
    </w:p>
    <w:p w:rsidR="007A5151" w:rsidRDefault="007A5151" w:rsidP="007A5151">
      <w:pPr>
        <w:pStyle w:val="NormalWeb"/>
        <w:spacing w:after="120" w:afterAutospacing="0"/>
      </w:pPr>
      <w:r>
        <w:rPr>
          <w:b/>
          <w:bCs/>
          <w:lang w:val="nl-NL"/>
        </w:rPr>
        <w:t>1. Giống lợn:</w:t>
      </w:r>
      <w:r>
        <w:rPr>
          <w:lang w:val="nl-NL"/>
        </w:rPr>
        <w:t xml:space="preserve"> Giống lợn ỉ, lợn Mường Khương, lợn Mini Quảng Trị,</w:t>
      </w:r>
    </w:p>
    <w:p w:rsidR="007A5151" w:rsidRDefault="007A5151" w:rsidP="007A5151">
      <w:pPr>
        <w:pStyle w:val="NormalWeb"/>
        <w:spacing w:after="120" w:afterAutospacing="0"/>
      </w:pPr>
      <w:r>
        <w:rPr>
          <w:b/>
          <w:bCs/>
          <w:lang w:val="nl-NL"/>
        </w:rPr>
        <w:t>2. Giống gia cầm:</w:t>
      </w:r>
    </w:p>
    <w:p w:rsidR="007A5151" w:rsidRDefault="007A5151" w:rsidP="007A5151">
      <w:pPr>
        <w:pStyle w:val="NormalWeb"/>
        <w:spacing w:after="120" w:afterAutospacing="0"/>
      </w:pPr>
      <w:r>
        <w:rPr>
          <w:lang w:val="nl-NL"/>
        </w:rPr>
        <w:t>2.1. Giống gà:</w:t>
      </w:r>
      <w:r>
        <w:rPr>
          <w:i/>
          <w:iCs/>
          <w:lang w:val="nl-NL"/>
        </w:rPr>
        <w:t xml:space="preserve"> </w:t>
      </w:r>
      <w:r>
        <w:rPr>
          <w:lang w:val="nl-NL"/>
        </w:rPr>
        <w:t>Gà Đông Tảo, gà Hồ, gà Mía, gà Hmông, gà ác.</w:t>
      </w:r>
    </w:p>
    <w:p w:rsidR="007A5151" w:rsidRDefault="007A5151" w:rsidP="007A5151">
      <w:pPr>
        <w:pStyle w:val="NormalWeb"/>
        <w:spacing w:after="120" w:afterAutospacing="0"/>
      </w:pPr>
      <w:r>
        <w:rPr>
          <w:lang w:val="nl-NL"/>
        </w:rPr>
        <w:t>2.2. Giống vịt:</w:t>
      </w:r>
      <w:r>
        <w:rPr>
          <w:i/>
          <w:iCs/>
          <w:lang w:val="nl-NL"/>
        </w:rPr>
        <w:t xml:space="preserve"> </w:t>
      </w:r>
      <w:r>
        <w:rPr>
          <w:lang w:val="nl-NL"/>
        </w:rPr>
        <w:t>Vịt Bầu Quỳ, vịt Bầu Bến.</w:t>
      </w:r>
    </w:p>
    <w:p w:rsidR="007A5151" w:rsidRDefault="007A5151" w:rsidP="007A5151">
      <w:pPr>
        <w:pStyle w:val="NormalWeb"/>
        <w:spacing w:after="120" w:afterAutospacing="0"/>
      </w:pPr>
      <w:r>
        <w:rPr>
          <w:b/>
          <w:bCs/>
          <w:lang w:val="nl-NL"/>
        </w:rPr>
        <w:t>3. Giống bò:</w:t>
      </w:r>
      <w:r>
        <w:rPr>
          <w:lang w:val="nl-NL"/>
        </w:rPr>
        <w:t xml:space="preserve"> Bò HMông</w:t>
      </w:r>
    </w:p>
    <w:p w:rsidR="00425AF3" w:rsidRDefault="00425AF3">
      <w:bookmarkStart w:id="0" w:name="_GoBack"/>
      <w:bookmarkEnd w:id="0"/>
    </w:p>
    <w:sectPr w:rsidR="0042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1"/>
    <w:rsid w:val="00425AF3"/>
    <w:rsid w:val="007A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5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1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5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2017-12-09T16:02:00Z</dcterms:created>
  <dcterms:modified xsi:type="dcterms:W3CDTF">2017-12-09T16:03:00Z</dcterms:modified>
</cp:coreProperties>
</file>